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DA97"/>
    <w:p w14:paraId="425C50AD"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临安区第一人民医院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安全服务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项目（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预算15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万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）</w:t>
      </w:r>
    </w:p>
    <w:p w14:paraId="5B87C1E8">
      <w:pPr>
        <w:jc w:val="center"/>
        <w:rPr>
          <w:rFonts w:hint="eastAsia" w:ascii="宋体" w:hAnsi="宋体" w:cs="宋体"/>
          <w:b/>
          <w:sz w:val="24"/>
        </w:rPr>
      </w:pPr>
    </w:p>
    <w:p w14:paraId="590FA0F5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</w:t>
      </w:r>
      <w:r>
        <w:rPr>
          <w:rFonts w:hint="eastAsia" w:ascii="宋体" w:hAnsi="宋体" w:cs="宋体"/>
          <w:sz w:val="28"/>
          <w:szCs w:val="28"/>
        </w:rPr>
        <w:t>：临安区第一人民医院信息化升级改造建设项目</w:t>
      </w:r>
    </w:p>
    <w:p w14:paraId="7DE7F005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数量单位</w:t>
      </w:r>
      <w:r>
        <w:rPr>
          <w:rFonts w:hint="eastAsia" w:ascii="宋体" w:hAnsi="宋体" w:cs="宋体"/>
          <w:sz w:val="28"/>
          <w:szCs w:val="28"/>
        </w:rPr>
        <w:t>：1</w:t>
      </w:r>
    </w:p>
    <w:p w14:paraId="6617220C">
      <w:pPr>
        <w:pStyle w:val="3"/>
        <w:numPr>
          <w:ilvl w:val="0"/>
          <w:numId w:val="0"/>
        </w:numPr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</w:rPr>
        <w:t>建设目标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：</w:t>
      </w:r>
    </w:p>
    <w:p w14:paraId="208200BA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通过本次网络安全服务的建设，达成以下目标：</w:t>
      </w:r>
      <w:bookmarkStart w:id="3" w:name="_GoBack"/>
      <w:bookmarkEnd w:id="3"/>
    </w:p>
    <w:p w14:paraId="3465B857">
      <w:pPr>
        <w:widowControl/>
        <w:spacing w:line="360" w:lineRule="auto"/>
        <w:jc w:val="left"/>
        <w:rPr>
          <w:rFonts w:hint="eastAsia" w:ascii="宋体" w:hAnsi="宋体" w:eastAsia="宋体" w:cs="仿宋_GB2312"/>
          <w:b/>
          <w:bCs/>
          <w:sz w:val="24"/>
          <w:szCs w:val="24"/>
        </w:rPr>
      </w:pPr>
      <w:bookmarkStart w:id="0" w:name="_Toc7514922"/>
      <w:r>
        <w:rPr>
          <w:rFonts w:hint="eastAsia" w:ascii="宋体" w:hAnsi="宋体" w:eastAsia="宋体" w:cs="仿宋_GB2312"/>
          <w:b/>
          <w:bCs/>
          <w:sz w:val="24"/>
          <w:szCs w:val="24"/>
        </w:rPr>
        <w:t>了解安全现状</w:t>
      </w:r>
      <w:bookmarkEnd w:id="0"/>
    </w:p>
    <w:p w14:paraId="3D5DB873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通过本次信息安全风险评估活动，进一步摸清组织信息系统的安全现状。</w:t>
      </w:r>
    </w:p>
    <w:p w14:paraId="4F79F243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通过对信息资产的识别，明确组织当前最需要保护什么以及保护对象的优先级序列；</w:t>
      </w:r>
    </w:p>
    <w:p w14:paraId="144FD00E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通过威胁识别以威胁视图的形式，明确了组织信息系统面临的信息安全威胁；</w:t>
      </w:r>
    </w:p>
    <w:p w14:paraId="54ED6926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通过脆弱性识别可以了解当前信息系统漏洞的统计和分布情况；</w:t>
      </w:r>
    </w:p>
    <w:p w14:paraId="32E7BC42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通过对现有的安全控制措施的识别与确认，可以清晰地描述出当前的安全体系以及尚缺的安全控制措施。</w:t>
      </w:r>
    </w:p>
    <w:p w14:paraId="7F2E0790">
      <w:pPr>
        <w:widowControl/>
        <w:spacing w:line="360" w:lineRule="auto"/>
        <w:jc w:val="left"/>
        <w:rPr>
          <w:rFonts w:hint="eastAsia" w:ascii="宋体" w:hAnsi="宋体" w:eastAsia="宋体" w:cs="仿宋_GB2312"/>
          <w:b/>
          <w:bCs/>
          <w:sz w:val="24"/>
          <w:szCs w:val="24"/>
        </w:rPr>
      </w:pPr>
      <w:bookmarkStart w:id="1" w:name="_Toc7514923"/>
      <w:r>
        <w:rPr>
          <w:rFonts w:hint="eastAsia" w:ascii="宋体" w:hAnsi="宋体" w:eastAsia="宋体" w:cs="仿宋_GB2312"/>
          <w:b/>
          <w:bCs/>
          <w:sz w:val="24"/>
          <w:szCs w:val="24"/>
        </w:rPr>
        <w:t>辅助管理层决策</w:t>
      </w:r>
      <w:bookmarkEnd w:id="1"/>
    </w:p>
    <w:p w14:paraId="23E52C7B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在风险评估识别阶段完成后，风险的主要构成要素均已被识别。经过对信息安全风险的描述、量化和展现，可以使组织信息系统的相关管理者从组织战略及业务的高度，增强信息安全意识，提高信息安全防范水平，制定风险控制计划，消除安全隐患。</w:t>
      </w:r>
    </w:p>
    <w:p w14:paraId="29E82641">
      <w:pPr>
        <w:widowControl/>
        <w:spacing w:line="360" w:lineRule="auto"/>
        <w:jc w:val="left"/>
        <w:rPr>
          <w:rFonts w:hint="eastAsia" w:ascii="宋体" w:hAnsi="宋体" w:eastAsia="宋体" w:cs="仿宋_GB2312"/>
          <w:b/>
          <w:bCs/>
          <w:sz w:val="24"/>
          <w:szCs w:val="24"/>
        </w:rPr>
      </w:pPr>
      <w:bookmarkStart w:id="2" w:name="_Toc7514924"/>
      <w:r>
        <w:rPr>
          <w:rFonts w:hint="eastAsia" w:ascii="宋体" w:hAnsi="宋体" w:eastAsia="宋体" w:cs="仿宋_GB2312"/>
          <w:b/>
          <w:bCs/>
          <w:sz w:val="24"/>
          <w:szCs w:val="24"/>
        </w:rPr>
        <w:t>满足合规检查</w:t>
      </w:r>
      <w:bookmarkEnd w:id="2"/>
    </w:p>
    <w:p w14:paraId="4A104E99">
      <w:pPr>
        <w:widowControl/>
        <w:spacing w:line="360" w:lineRule="auto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为进一步加强“网络安全检查，摸清家底，认清风险，找出漏洞，通报结果，督促整改”等重要指示精神，推进《中华人民共和国网络安全法》实施，针对用户重要业务应用，提供专业高效的安全评估服务，提前发现潜在漏洞，及时处置安全问题，规避监管部门的安全通报，满足</w:t>
      </w:r>
      <w:r>
        <w:rPr>
          <w:rFonts w:ascii="宋体" w:hAnsi="宋体" w:eastAsia="宋体" w:cs="仿宋_GB2312"/>
          <w:sz w:val="24"/>
          <w:szCs w:val="24"/>
        </w:rPr>
        <w:t>监管要求的合规性检查</w:t>
      </w:r>
      <w:r>
        <w:rPr>
          <w:rFonts w:hint="eastAsia" w:ascii="宋体" w:hAnsi="宋体" w:eastAsia="宋体" w:cs="仿宋_GB2312"/>
          <w:sz w:val="24"/>
          <w:szCs w:val="24"/>
        </w:rPr>
        <w:t>。</w:t>
      </w:r>
    </w:p>
    <w:p w14:paraId="7E544C6F">
      <w:pPr>
        <w:rPr>
          <w:rFonts w:hint="eastAsia" w:ascii="宋体" w:hAnsi="宋体" w:eastAsia="宋体"/>
        </w:rPr>
      </w:pPr>
    </w:p>
    <w:p w14:paraId="03052834">
      <w:pPr>
        <w:pStyle w:val="3"/>
        <w:numPr>
          <w:ilvl w:val="0"/>
          <w:numId w:val="0"/>
        </w:numPr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仿宋_GB2312"/>
          <w:sz w:val="28"/>
          <w:szCs w:val="28"/>
        </w:rPr>
        <w:t>内容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：</w:t>
      </w:r>
    </w:p>
    <w:tbl>
      <w:tblPr>
        <w:tblStyle w:val="5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88"/>
        <w:gridCol w:w="4352"/>
        <w:gridCol w:w="690"/>
        <w:gridCol w:w="690"/>
      </w:tblGrid>
      <w:tr w14:paraId="329F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99" w:type="dxa"/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E3F953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1988" w:type="dxa"/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0EC52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名称</w:t>
            </w:r>
          </w:p>
        </w:tc>
        <w:tc>
          <w:tcPr>
            <w:tcW w:w="4352" w:type="dxa"/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D710C7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描述</w:t>
            </w:r>
          </w:p>
        </w:tc>
        <w:tc>
          <w:tcPr>
            <w:tcW w:w="690" w:type="dxa"/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ABA066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数量</w:t>
            </w:r>
          </w:p>
        </w:tc>
        <w:tc>
          <w:tcPr>
            <w:tcW w:w="690" w:type="dxa"/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353781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</w:t>
            </w:r>
          </w:p>
        </w:tc>
      </w:tr>
      <w:tr w14:paraId="386B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15444C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198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E9D340">
            <w:pPr>
              <w:pStyle w:val="7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安全服务</w:t>
            </w:r>
          </w:p>
        </w:tc>
        <w:tc>
          <w:tcPr>
            <w:tcW w:w="435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5A2E92">
            <w:pPr>
              <w:pStyle w:val="7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包含资产梳理、基线核查、漏洞扫描、系统渗透测试、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新系统上线评估、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安全加固服务、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应急响应、重保服务等。</w:t>
            </w:r>
          </w:p>
        </w:tc>
        <w:tc>
          <w:tcPr>
            <w:tcW w:w="6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B9554E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0A6900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</w:p>
        </w:tc>
      </w:tr>
      <w:tr w14:paraId="4DC6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611BF7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198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7ACDE9">
            <w:pPr>
              <w:pStyle w:val="7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安全托管服务</w:t>
            </w:r>
          </w:p>
        </w:tc>
        <w:tc>
          <w:tcPr>
            <w:tcW w:w="435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3A5528">
            <w:pPr>
              <w:pStyle w:val="7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网络核心流量不少于1600Mbps环境下提供全部资产安全托管服务，至少1年7*24小时专家服务，持续开展资产</w:t>
            </w:r>
            <w:r>
              <w:rPr>
                <w:rFonts w:hint="eastAsia" w:ascii="宋体" w:hAnsi="宋体" w:cstheme="minorEastAsia"/>
                <w:bCs/>
                <w:color w:val="000000"/>
                <w:kern w:val="0"/>
                <w:sz w:val="24"/>
                <w:szCs w:val="24"/>
                <w:lang w:bidi="ar"/>
              </w:rPr>
              <w:t>安全、脆弱性、威胁、安全事件管理服务。</w:t>
            </w:r>
          </w:p>
        </w:tc>
        <w:tc>
          <w:tcPr>
            <w:tcW w:w="6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E1E6DB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6214D6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</w:p>
        </w:tc>
      </w:tr>
      <w:tr w14:paraId="35B0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DAF20F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98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84EFCE">
            <w:pPr>
              <w:pStyle w:val="7"/>
              <w:rPr>
                <w:rFonts w:hint="eastAsia" w:ascii="宋体" w:hAnsi="宋体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智慧运维管理系统</w:t>
            </w:r>
          </w:p>
        </w:tc>
        <w:tc>
          <w:tcPr>
            <w:tcW w:w="4352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F0A12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软件功能不受限即不存在另外单独授权的软件功能。</w:t>
            </w:r>
          </w:p>
        </w:tc>
        <w:tc>
          <w:tcPr>
            <w:tcW w:w="6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64388E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6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DA6711">
            <w:pPr>
              <w:pStyle w:val="7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</w:p>
        </w:tc>
      </w:tr>
    </w:tbl>
    <w:p w14:paraId="0D342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1744E57"/>
    <w:multiLevelType w:val="multilevel"/>
    <w:tmpl w:val="11744E5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900"/>
        </w:tabs>
        <w:ind w:left="90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4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1"/>
    </w:pPr>
    <w:rPr>
      <w:rFonts w:ascii="仿宋_GB2312" w:hAnsi="仿宋" w:eastAsia="仿宋_GB2312" w:cs="Times New Roman"/>
      <w:b/>
      <w:bCs/>
      <w:sz w:val="32"/>
      <w:szCs w:val="32"/>
      <w:lang w:val="zh-C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2"/>
      </w:numPr>
      <w:tabs>
        <w:tab w:val="left" w:pos="432"/>
      </w:tabs>
      <w:adjustRightInd w:val="0"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adjustRightInd w:val="0"/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No Spacing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8">
    <w:name w:val="网格型1"/>
    <w:basedOn w:val="5"/>
    <w:qFormat/>
    <w:uiPriority w:val="39"/>
    <w:rPr>
      <w:rFonts w:ascii="等线" w:hAnsi="等线" w:eastAsia="等线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标题3"/>
    <w:basedOn w:val="10"/>
    <w:next w:val="10"/>
    <w:qFormat/>
    <w:uiPriority w:val="0"/>
    <w:pPr>
      <w:widowControl w:val="0"/>
      <w:spacing w:before="50" w:beforeLines="50" w:after="50" w:afterLines="50"/>
      <w:ind w:firstLine="0" w:firstLineChars="0"/>
      <w:outlineLvl w:val="2"/>
    </w:pPr>
    <w:rPr>
      <w:rFonts w:eastAsia="宋体"/>
      <w:b/>
      <w:sz w:val="32"/>
    </w:rPr>
  </w:style>
  <w:style w:type="paragraph" w:customStyle="1" w:styleId="10">
    <w:name w:val="__正文"/>
    <w:qFormat/>
    <w:uiPriority w:val="0"/>
    <w:pPr>
      <w:spacing w:line="360" w:lineRule="auto"/>
      <w:ind w:firstLine="200" w:firstLineChars="200"/>
    </w:pPr>
    <w:rPr>
      <w:rFonts w:ascii="Calibri" w:hAnsi="Calibri" w:eastAsia="等线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2026-03-13T00:39:05Z</dcterms:created>
  <dc:creator>sfh</dc:creator>
  <cp:lastModifiedBy>邵</cp:lastModifiedBy>
  <dcterms:modified xsi:type="dcterms:W3CDTF">2026-03-13T00:47:28Z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eyJoZGlkIjoiNGZhYWFiNmMzZjJjN2UyMzY4NjQ5Y2YyMjc2YzVlNzQiLCJ1c2VySWQiOiIzOTQ1MjMwMjMifQ==</vt:lpwstr>
  </property>
  <property fmtid="{D5CDD505-2E9C-101B-9397-08002B2CF9AE}" pid="4" name="ICV">
    <vt:lpwstr>85FF4726823E4F0185611CF0BCFA3834_12</vt:lpwstr>
  </property>
</Properties>
</file>