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firstLine="3855" w:firstLineChars="1200"/>
        <w:outlineLvl w:val="0"/>
        <w:rPr>
          <w:rFonts w:ascii="宋体" w:hAnsi="宋体"/>
          <w:b/>
          <w:color w:val="000000"/>
          <w:sz w:val="32"/>
        </w:rPr>
      </w:pPr>
      <w:bookmarkStart w:id="1" w:name="_GoBack"/>
      <w:bookmarkEnd w:id="1"/>
      <w:bookmarkStart w:id="0" w:name="_Toc58260785"/>
      <w:r>
        <w:rPr>
          <w:rFonts w:hint="eastAsia" w:ascii="宋体" w:hAnsi="宋体"/>
          <w:b/>
          <w:color w:val="000000"/>
          <w:sz w:val="32"/>
        </w:rPr>
        <w:t>服务采购需求</w:t>
      </w:r>
    </w:p>
    <w:p>
      <w:pPr>
        <w:pStyle w:val="9"/>
        <w:spacing w:before="31" w:after="31"/>
        <w:rPr>
          <w:rFonts w:ascii="宋体" w:hAnsi="宋体" w:eastAsia="宋体"/>
        </w:rPr>
      </w:pPr>
      <w:r>
        <w:rPr>
          <w:rFonts w:hint="eastAsia" w:ascii="宋体" w:hAnsi="宋体" w:eastAsia="宋体"/>
        </w:rPr>
        <w:t>一、服务总体要求</w:t>
      </w:r>
    </w:p>
    <w:p>
      <w:pPr>
        <w:pStyle w:val="2"/>
        <w:spacing w:line="360" w:lineRule="auto"/>
        <w:ind w:firstLine="480"/>
        <w:rPr>
          <w:rFonts w:ascii="宋体" w:hAnsi="宋体" w:eastAsia="宋体"/>
          <w:sz w:val="24"/>
        </w:rPr>
      </w:pPr>
      <w:r>
        <w:rPr>
          <w:rFonts w:hint="eastAsia" w:ascii="宋体" w:hAnsi="宋体" w:eastAsia="宋体"/>
          <w:sz w:val="24"/>
        </w:rPr>
        <w:t>采购第三方的患者诊后疾病精细化管理劳务外包服务，服务时间：</w:t>
      </w:r>
      <w:r>
        <w:rPr>
          <w:rFonts w:ascii="宋体" w:hAnsi="宋体" w:eastAsia="宋体"/>
          <w:sz w:val="24"/>
        </w:rPr>
        <w:t>3</w:t>
      </w:r>
      <w:r>
        <w:rPr>
          <w:rFonts w:hint="eastAsia" w:ascii="宋体" w:hAnsi="宋体" w:eastAsia="宋体"/>
          <w:sz w:val="24"/>
        </w:rPr>
        <w:t>年（合同约定时间起算）。项目结算总金额预算为￥595.00万元</w:t>
      </w:r>
      <w:r>
        <w:rPr>
          <w:rFonts w:hint="eastAsia" w:ascii="宋体" w:hAnsi="宋体" w:eastAsia="宋体"/>
          <w:sz w:val="24"/>
          <w:lang w:eastAsia="zh-CN"/>
        </w:rPr>
        <w:t>：</w:t>
      </w:r>
      <w:r>
        <w:rPr>
          <w:rFonts w:hint="eastAsia" w:ascii="宋体" w:hAnsi="宋体" w:eastAsia="宋体"/>
          <w:sz w:val="24"/>
          <w:lang w:val="en-US" w:eastAsia="zh-CN"/>
        </w:rPr>
        <w:t>第一年平均每季度</w:t>
      </w:r>
      <w:r>
        <w:rPr>
          <w:rFonts w:hint="eastAsia" w:ascii="宋体" w:hAnsi="宋体" w:eastAsia="宋体"/>
          <w:sz w:val="24"/>
        </w:rPr>
        <w:t>￥</w:t>
      </w:r>
      <w:r>
        <w:rPr>
          <w:rFonts w:hint="eastAsia" w:ascii="宋体" w:hAnsi="宋体" w:eastAsia="宋体"/>
          <w:sz w:val="24"/>
          <w:lang w:val="en-US" w:eastAsia="zh-CN"/>
        </w:rPr>
        <w:t>30.00万元，全年共计</w:t>
      </w:r>
      <w:r>
        <w:rPr>
          <w:rFonts w:hint="eastAsia" w:ascii="宋体" w:hAnsi="宋体" w:eastAsia="宋体"/>
          <w:sz w:val="24"/>
        </w:rPr>
        <w:t>￥</w:t>
      </w:r>
      <w:r>
        <w:rPr>
          <w:rFonts w:hint="eastAsia" w:ascii="宋体" w:hAnsi="宋体" w:eastAsia="宋体"/>
          <w:sz w:val="24"/>
          <w:lang w:val="en-US" w:eastAsia="zh-CN"/>
        </w:rPr>
        <w:t>120.00万元；第二年平均每季度</w:t>
      </w:r>
      <w:r>
        <w:rPr>
          <w:rFonts w:hint="eastAsia" w:ascii="宋体" w:hAnsi="宋体" w:eastAsia="宋体"/>
          <w:sz w:val="24"/>
        </w:rPr>
        <w:t>￥</w:t>
      </w:r>
      <w:r>
        <w:rPr>
          <w:rFonts w:hint="eastAsia" w:ascii="宋体" w:hAnsi="宋体" w:eastAsia="宋体"/>
          <w:sz w:val="24"/>
          <w:lang w:val="en-US" w:eastAsia="zh-CN"/>
        </w:rPr>
        <w:t>50.00万元，全年共计</w:t>
      </w:r>
      <w:r>
        <w:rPr>
          <w:rFonts w:hint="eastAsia" w:ascii="宋体" w:hAnsi="宋体" w:eastAsia="宋体"/>
          <w:sz w:val="24"/>
        </w:rPr>
        <w:t>￥</w:t>
      </w:r>
      <w:r>
        <w:rPr>
          <w:rFonts w:hint="eastAsia" w:ascii="宋体" w:hAnsi="宋体" w:eastAsia="宋体"/>
          <w:sz w:val="24"/>
          <w:lang w:val="en-US" w:eastAsia="zh-CN"/>
        </w:rPr>
        <w:t>200.00万元；第三年平均每季度</w:t>
      </w:r>
      <w:r>
        <w:rPr>
          <w:rFonts w:hint="eastAsia" w:ascii="宋体" w:hAnsi="宋体" w:eastAsia="宋体"/>
          <w:sz w:val="24"/>
        </w:rPr>
        <w:t>￥</w:t>
      </w:r>
      <w:r>
        <w:rPr>
          <w:rFonts w:hint="eastAsia" w:ascii="宋体" w:hAnsi="宋体" w:eastAsia="宋体"/>
          <w:sz w:val="24"/>
          <w:lang w:val="en-US" w:eastAsia="zh-CN"/>
        </w:rPr>
        <w:t>68.75万元，全年共计</w:t>
      </w:r>
      <w:r>
        <w:rPr>
          <w:rFonts w:hint="eastAsia" w:ascii="宋体" w:hAnsi="宋体" w:eastAsia="宋体"/>
          <w:sz w:val="24"/>
        </w:rPr>
        <w:t>￥</w:t>
      </w:r>
      <w:r>
        <w:rPr>
          <w:rFonts w:hint="eastAsia" w:ascii="宋体" w:hAnsi="宋体" w:eastAsia="宋体"/>
          <w:sz w:val="24"/>
          <w:lang w:val="en-US" w:eastAsia="zh-CN"/>
        </w:rPr>
        <w:t>275.00万元</w:t>
      </w:r>
      <w:r>
        <w:rPr>
          <w:rFonts w:hint="eastAsia" w:ascii="宋体" w:hAnsi="宋体" w:eastAsia="宋体"/>
          <w:sz w:val="24"/>
        </w:rPr>
        <w:t>。</w:t>
      </w:r>
    </w:p>
    <w:p>
      <w:pPr>
        <w:pStyle w:val="2"/>
        <w:spacing w:line="360" w:lineRule="auto"/>
        <w:ind w:firstLine="480"/>
        <w:rPr>
          <w:rFonts w:ascii="宋体" w:hAnsi="宋体" w:eastAsia="宋体"/>
          <w:sz w:val="24"/>
        </w:rPr>
      </w:pPr>
      <w:r>
        <w:rPr>
          <w:rFonts w:hint="eastAsia" w:ascii="宋体" w:hAnsi="宋体" w:eastAsia="宋体"/>
          <w:sz w:val="24"/>
        </w:rPr>
        <w:t>我院诊后疾病精细化管理劳务外包服务项目去年开展以来，一方面为患者提供了优质的院后延续服务，另一方面也得到了广大患者的认可并提升了我院在本地的良好口碑和影响力。采购人为延续诊后疾病精细化管理劳务外包服务，拟再次引进专业的第三方患者诊后疾病精细化管理服务供应商（以下简称“服务供应商”），共同探索并建立医、防一体的具有诊后高度管理价值的患者诊后疾病精细化健康服务创新模式。本次项目尤其关注门诊、体检等患者，为这些患者提供以疾病管理、复诊管理、运动饮食干预指导、居家康复指导等为主的疾病精细化管理服务。从而最大限度地提升采购人的医疗质量，大幅提升患者对医院的满意度和获得感，通过优异的诊后患者管理服务来大幅提升采购人在本区域内的竞争力。</w:t>
      </w:r>
    </w:p>
    <w:p>
      <w:pPr>
        <w:pStyle w:val="9"/>
        <w:spacing w:before="31" w:after="31"/>
        <w:rPr>
          <w:rFonts w:ascii="宋体" w:hAnsi="宋体" w:eastAsia="宋体"/>
        </w:rPr>
      </w:pPr>
      <w:r>
        <w:rPr>
          <w:rFonts w:hint="eastAsia" w:ascii="宋体" w:hAnsi="宋体" w:eastAsia="宋体"/>
        </w:rPr>
        <w:t>二、服务范围要求</w:t>
      </w:r>
    </w:p>
    <w:p>
      <w:pPr>
        <w:pStyle w:val="3"/>
        <w:spacing w:line="360" w:lineRule="auto"/>
        <w:ind w:firstLine="482" w:firstLineChars="200"/>
        <w:rPr>
          <w:rFonts w:ascii="宋体" w:hAnsi="宋体"/>
          <w:b/>
          <w:sz w:val="24"/>
        </w:rPr>
      </w:pPr>
      <w:r>
        <w:rPr>
          <w:rFonts w:hint="eastAsia" w:ascii="宋体" w:hAnsi="宋体"/>
          <w:b/>
          <w:sz w:val="24"/>
        </w:rPr>
        <w:t>服务供应商应服务的范围包括但不限于以下人群：</w:t>
      </w:r>
    </w:p>
    <w:p>
      <w:pPr>
        <w:pStyle w:val="3"/>
        <w:spacing w:line="360" w:lineRule="auto"/>
        <w:ind w:firstLine="480" w:firstLineChars="200"/>
        <w:rPr>
          <w:rFonts w:ascii="宋体" w:hAnsi="宋体"/>
          <w:sz w:val="24"/>
        </w:rPr>
      </w:pPr>
      <w:r>
        <w:rPr>
          <w:rFonts w:hint="eastAsia" w:ascii="宋体" w:hAnsi="宋体"/>
          <w:sz w:val="24"/>
        </w:rPr>
        <w:t>1）采购人中诊断为多囊卵巢综合征、儿童哮喘、尿失禁、胃溃疡、脑梗死、脑卒中、高血压、糖尿病、冠心病、慢阻肺、手术治疗等常见病的门诊、住院患者；</w:t>
      </w:r>
    </w:p>
    <w:p>
      <w:pPr>
        <w:pStyle w:val="3"/>
        <w:spacing w:line="360" w:lineRule="auto"/>
        <w:ind w:firstLine="480" w:firstLineChars="200"/>
        <w:rPr>
          <w:rFonts w:ascii="宋体" w:hAnsi="宋体"/>
          <w:sz w:val="24"/>
        </w:rPr>
      </w:pPr>
      <w:r>
        <w:rPr>
          <w:rFonts w:hint="eastAsia" w:ascii="宋体" w:hAnsi="宋体"/>
          <w:sz w:val="24"/>
        </w:rPr>
        <w:t>2）采购人中诊断为其他具有诊后疾病精细化管理价值的患者：包括检后高危、危急重症、术后康复等患者。</w:t>
      </w:r>
    </w:p>
    <w:p>
      <w:pPr>
        <w:pStyle w:val="9"/>
        <w:spacing w:before="31" w:after="31"/>
        <w:rPr>
          <w:rFonts w:ascii="宋体" w:hAnsi="宋体" w:eastAsia="宋体"/>
        </w:rPr>
      </w:pPr>
      <w:r>
        <w:rPr>
          <w:rFonts w:hint="eastAsia" w:ascii="宋体" w:hAnsi="宋体" w:eastAsia="宋体"/>
        </w:rPr>
        <w:t>三</w:t>
      </w:r>
      <w:r>
        <w:rPr>
          <w:rFonts w:ascii="宋体" w:hAnsi="宋体" w:eastAsia="宋体"/>
        </w:rPr>
        <w:t>、服务人员配置要求</w:t>
      </w:r>
    </w:p>
    <w:p>
      <w:pPr>
        <w:pStyle w:val="2"/>
        <w:spacing w:line="360" w:lineRule="auto"/>
        <w:ind w:firstLine="480"/>
        <w:rPr>
          <w:rFonts w:ascii="宋体" w:hAnsi="宋体" w:eastAsia="宋体"/>
          <w:sz w:val="24"/>
        </w:rPr>
      </w:pPr>
      <w:r>
        <w:rPr>
          <w:rFonts w:hint="eastAsia" w:ascii="宋体" w:hAnsi="宋体" w:eastAsia="宋体"/>
          <w:sz w:val="24"/>
        </w:rPr>
        <w:t>为了保障诊后疾病精细化管理服务的规范性和科学性，采购人需与服务供应商共同组建一支专业的诊后疾病精细化管理服务团队。服务供应商需服从采购人的安排，协助采购人开展诊后疾病精细化管理正常工作所需要的相关服务。</w:t>
      </w:r>
    </w:p>
    <w:p>
      <w:pPr>
        <w:pStyle w:val="2"/>
        <w:spacing w:line="360" w:lineRule="auto"/>
        <w:ind w:firstLine="480"/>
        <w:rPr>
          <w:rFonts w:ascii="宋体" w:hAnsi="宋体" w:eastAsia="宋体"/>
          <w:sz w:val="24"/>
        </w:rPr>
      </w:pPr>
      <w:r>
        <w:rPr>
          <w:rFonts w:hint="eastAsia" w:ascii="宋体" w:hAnsi="宋体" w:eastAsia="宋体"/>
          <w:sz w:val="24"/>
        </w:rPr>
        <w:t>1、采购人需安排相关医护人员配合整个项目的日常开展。</w:t>
      </w:r>
    </w:p>
    <w:p>
      <w:pPr>
        <w:pStyle w:val="2"/>
        <w:spacing w:line="360" w:lineRule="auto"/>
        <w:ind w:firstLine="480"/>
        <w:rPr>
          <w:rFonts w:ascii="宋体" w:hAnsi="宋体" w:eastAsia="宋体" w:cs="宋体"/>
          <w:bCs/>
          <w:sz w:val="24"/>
        </w:rPr>
      </w:pPr>
      <w:r>
        <w:rPr>
          <w:rFonts w:hint="eastAsia" w:ascii="宋体" w:hAnsi="宋体" w:eastAsia="宋体"/>
          <w:sz w:val="24"/>
        </w:rPr>
        <w:t>2、服务供应商需为本次项目</w:t>
      </w:r>
      <w:r>
        <w:rPr>
          <w:rFonts w:hint="eastAsia" w:ascii="宋体" w:hAnsi="宋体" w:eastAsia="宋体" w:cs="宋体"/>
          <w:bCs/>
          <w:sz w:val="24"/>
        </w:rPr>
        <w:t>安排有医学背景（具备护师、医师、营养师、运动康复师、药师、健康管理师等任一医学资格能力）的服务人员。服务供应商人员配置应包括但不限于项目总负责人、运营支撑人员团队（包括医学运营团队、医学路径梳理团队、医学内容编制团队和软件支持团队）、个案管理师团队。各个团队的具体人员配置要求如下：</w:t>
      </w:r>
    </w:p>
    <w:tbl>
      <w:tblPr>
        <w:tblStyle w:val="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45" w:type="dxa"/>
          <w:bottom w:w="17" w:type="dxa"/>
          <w:right w:w="45" w:type="dxa"/>
        </w:tblCellMar>
      </w:tblPr>
      <w:tblGrid>
        <w:gridCol w:w="562"/>
        <w:gridCol w:w="851"/>
        <w:gridCol w:w="851"/>
        <w:gridCol w:w="467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Align w:val="center"/>
          </w:tcPr>
          <w:p>
            <w:pPr>
              <w:jc w:val="center"/>
              <w:rPr>
                <w:rFonts w:ascii="宋体" w:hAnsi="宋体"/>
                <w:szCs w:val="21"/>
              </w:rPr>
            </w:pPr>
            <w:r>
              <w:rPr>
                <w:rFonts w:hint="eastAsia" w:ascii="宋体" w:hAnsi="宋体"/>
                <w:szCs w:val="21"/>
              </w:rPr>
              <w:t>序号</w:t>
            </w:r>
          </w:p>
        </w:tc>
        <w:tc>
          <w:tcPr>
            <w:tcW w:w="1702" w:type="dxa"/>
            <w:gridSpan w:val="2"/>
            <w:vAlign w:val="center"/>
          </w:tcPr>
          <w:p>
            <w:pPr>
              <w:jc w:val="center"/>
              <w:rPr>
                <w:rFonts w:ascii="宋体" w:hAnsi="宋体"/>
                <w:szCs w:val="21"/>
              </w:rPr>
            </w:pPr>
            <w:r>
              <w:rPr>
                <w:rFonts w:hint="eastAsia" w:ascii="宋体" w:hAnsi="宋体"/>
                <w:szCs w:val="21"/>
              </w:rPr>
              <w:t>名称</w:t>
            </w:r>
          </w:p>
        </w:tc>
        <w:tc>
          <w:tcPr>
            <w:tcW w:w="4677" w:type="dxa"/>
            <w:vAlign w:val="center"/>
          </w:tcPr>
          <w:p>
            <w:pPr>
              <w:jc w:val="center"/>
              <w:rPr>
                <w:rFonts w:ascii="宋体" w:hAnsi="宋体"/>
                <w:szCs w:val="21"/>
              </w:rPr>
            </w:pPr>
            <w:r>
              <w:rPr>
                <w:rFonts w:hint="eastAsia" w:ascii="宋体" w:hAnsi="宋体"/>
                <w:szCs w:val="21"/>
              </w:rPr>
              <w:t>工作</w:t>
            </w:r>
            <w:r>
              <w:rPr>
                <w:rFonts w:ascii="宋体" w:hAnsi="宋体"/>
                <w:szCs w:val="21"/>
              </w:rPr>
              <w:t>职责</w:t>
            </w:r>
          </w:p>
        </w:tc>
        <w:tc>
          <w:tcPr>
            <w:tcW w:w="2126" w:type="dxa"/>
            <w:vAlign w:val="center"/>
          </w:tcPr>
          <w:p>
            <w:pPr>
              <w:jc w:val="center"/>
              <w:rPr>
                <w:rFonts w:ascii="宋体" w:hAnsi="宋体"/>
                <w:szCs w:val="21"/>
              </w:rPr>
            </w:pPr>
            <w:r>
              <w:rPr>
                <w:rFonts w:hint="eastAsia" w:ascii="宋体" w:hAnsi="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Align w:val="center"/>
          </w:tcPr>
          <w:p>
            <w:pPr>
              <w:jc w:val="center"/>
              <w:rPr>
                <w:rFonts w:ascii="宋体" w:hAnsi="宋体"/>
                <w:szCs w:val="21"/>
              </w:rPr>
            </w:pPr>
            <w:r>
              <w:rPr>
                <w:rFonts w:hint="eastAsia" w:ascii="宋体" w:hAnsi="宋体"/>
                <w:szCs w:val="21"/>
              </w:rPr>
              <w:t>1</w:t>
            </w:r>
          </w:p>
        </w:tc>
        <w:tc>
          <w:tcPr>
            <w:tcW w:w="1702" w:type="dxa"/>
            <w:gridSpan w:val="2"/>
            <w:vAlign w:val="center"/>
          </w:tcPr>
          <w:p>
            <w:pPr>
              <w:jc w:val="center"/>
              <w:rPr>
                <w:rFonts w:ascii="宋体" w:hAnsi="宋体"/>
                <w:szCs w:val="21"/>
              </w:rPr>
            </w:pPr>
            <w:r>
              <w:rPr>
                <w:rFonts w:hint="eastAsia" w:ascii="宋体" w:hAnsi="宋体"/>
                <w:szCs w:val="21"/>
              </w:rPr>
              <w:t>项目总负责人</w:t>
            </w:r>
          </w:p>
        </w:tc>
        <w:tc>
          <w:tcPr>
            <w:tcW w:w="4677" w:type="dxa"/>
            <w:vAlign w:val="center"/>
          </w:tcPr>
          <w:p>
            <w:pPr>
              <w:rPr>
                <w:rFonts w:ascii="宋体" w:hAnsi="宋体"/>
                <w:szCs w:val="21"/>
              </w:rPr>
            </w:pPr>
            <w:r>
              <w:rPr>
                <w:rFonts w:hint="eastAsia" w:ascii="宋体" w:hAnsi="宋体"/>
                <w:szCs w:val="21"/>
              </w:rPr>
              <w:t>负责统筹协调各分团队的工作开展和日常管理，每周输出患者情况医学报告给临床科室主任及院领导；对VIP患者就医体验进行跟踪和回访，统筹紧急异常病情患者的应急就诊，处理患者投诉等；每月输出一份报告给我方指定的负责人；陪同来访参观人员的接待和解答。</w:t>
            </w:r>
          </w:p>
        </w:tc>
        <w:tc>
          <w:tcPr>
            <w:tcW w:w="2126" w:type="dxa"/>
            <w:vAlign w:val="center"/>
          </w:tcPr>
          <w:p>
            <w:pPr>
              <w:rPr>
                <w:rFonts w:ascii="宋体" w:hAnsi="宋体"/>
                <w:szCs w:val="21"/>
              </w:rPr>
            </w:pPr>
            <w:r>
              <w:rPr>
                <w:rFonts w:hint="eastAsia" w:ascii="宋体" w:hAnsi="宋体"/>
                <w:szCs w:val="21"/>
              </w:rPr>
              <w:t>1人；</w:t>
            </w:r>
          </w:p>
          <w:p>
            <w:pPr>
              <w:rPr>
                <w:rFonts w:ascii="宋体" w:hAnsi="宋体"/>
                <w:szCs w:val="21"/>
              </w:rPr>
            </w:pPr>
            <w:r>
              <w:rPr>
                <w:rFonts w:hint="eastAsia" w:ascii="宋体" w:hAnsi="宋体"/>
                <w:szCs w:val="21"/>
              </w:rPr>
              <w:t>2.具有较为丰富的医学管理经验，能够与临床科主任及以上领导进行有效沟通；</w:t>
            </w:r>
          </w:p>
          <w:p>
            <w:pPr>
              <w:rPr>
                <w:rFonts w:ascii="宋体" w:hAnsi="宋体"/>
                <w:szCs w:val="21"/>
              </w:rPr>
            </w:pPr>
            <w:r>
              <w:rPr>
                <w:rFonts w:hint="eastAsia" w:ascii="宋体" w:hAnsi="宋体"/>
                <w:szCs w:val="21"/>
              </w:rPr>
              <w:t>3.具有住院医师及以上证书。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restart"/>
            <w:vAlign w:val="center"/>
          </w:tcPr>
          <w:p>
            <w:pPr>
              <w:jc w:val="center"/>
              <w:rPr>
                <w:rFonts w:ascii="宋体" w:hAnsi="宋体"/>
                <w:szCs w:val="21"/>
              </w:rPr>
            </w:pPr>
            <w:r>
              <w:rPr>
                <w:rFonts w:hint="eastAsia" w:ascii="宋体" w:hAnsi="宋体"/>
                <w:szCs w:val="21"/>
              </w:rPr>
              <w:t>2</w:t>
            </w:r>
          </w:p>
        </w:tc>
        <w:tc>
          <w:tcPr>
            <w:tcW w:w="851" w:type="dxa"/>
            <w:vMerge w:val="restart"/>
            <w:vAlign w:val="center"/>
          </w:tcPr>
          <w:p>
            <w:pPr>
              <w:jc w:val="center"/>
              <w:rPr>
                <w:rFonts w:ascii="宋体" w:hAnsi="宋体"/>
                <w:szCs w:val="21"/>
              </w:rPr>
            </w:pPr>
            <w:r>
              <w:rPr>
                <w:rFonts w:hint="eastAsia" w:ascii="宋体" w:hAnsi="宋体"/>
                <w:szCs w:val="21"/>
              </w:rPr>
              <w:t>运营支撑人员团队</w:t>
            </w:r>
          </w:p>
        </w:tc>
        <w:tc>
          <w:tcPr>
            <w:tcW w:w="851" w:type="dxa"/>
            <w:vAlign w:val="center"/>
          </w:tcPr>
          <w:p>
            <w:pPr>
              <w:jc w:val="center"/>
              <w:rPr>
                <w:rFonts w:ascii="宋体" w:hAnsi="宋体"/>
                <w:szCs w:val="21"/>
              </w:rPr>
            </w:pPr>
            <w:r>
              <w:rPr>
                <w:rFonts w:hint="eastAsia" w:ascii="宋体" w:hAnsi="宋体"/>
                <w:szCs w:val="21"/>
              </w:rPr>
              <w:t>医学运营团队</w:t>
            </w:r>
          </w:p>
        </w:tc>
        <w:tc>
          <w:tcPr>
            <w:tcW w:w="4677" w:type="dxa"/>
            <w:vAlign w:val="center"/>
          </w:tcPr>
          <w:p>
            <w:pPr>
              <w:rPr>
                <w:rFonts w:ascii="宋体" w:hAnsi="宋体"/>
                <w:szCs w:val="21"/>
              </w:rPr>
            </w:pPr>
            <w:r>
              <w:rPr>
                <w:rFonts w:hint="eastAsia" w:ascii="宋体" w:hAnsi="宋体"/>
                <w:szCs w:val="21"/>
              </w:rPr>
              <w:t>负责运营管理（包括运营计划、组织、实施和风险控制），制定和执行医学运营策略；负责面向患者进行服务内容现场宣教，协助处理患者投诉，组织患友会，监控服务质量并提出改进建议；对参与本项目的我院医护人员进行培训和疑难解答；协调个案管理师团队与临床医护人员之间的沟通；提供线下非医疗诊断的健康咨询服务。</w:t>
            </w:r>
          </w:p>
        </w:tc>
        <w:tc>
          <w:tcPr>
            <w:tcW w:w="2126" w:type="dxa"/>
            <w:vAlign w:val="center"/>
          </w:tcPr>
          <w:p>
            <w:pPr>
              <w:rPr>
                <w:rFonts w:ascii="宋体" w:hAnsi="宋体"/>
                <w:szCs w:val="21"/>
              </w:rPr>
            </w:pPr>
            <w:r>
              <w:rPr>
                <w:rFonts w:ascii="宋体" w:hAnsi="宋体"/>
                <w:szCs w:val="21"/>
              </w:rPr>
              <w:t>1.不少于2</w:t>
            </w:r>
            <w:r>
              <w:rPr>
                <w:rFonts w:hint="eastAsia" w:ascii="宋体" w:hAnsi="宋体"/>
                <w:szCs w:val="21"/>
              </w:rPr>
              <w:t>人；</w:t>
            </w:r>
          </w:p>
          <w:p>
            <w:pPr>
              <w:rPr>
                <w:rFonts w:ascii="宋体" w:hAnsi="宋体"/>
                <w:szCs w:val="21"/>
              </w:rPr>
            </w:pPr>
            <w:r>
              <w:rPr>
                <w:rFonts w:ascii="宋体" w:hAnsi="宋体"/>
                <w:szCs w:val="21"/>
              </w:rPr>
              <w:t>2.</w:t>
            </w:r>
            <w:r>
              <w:rPr>
                <w:rFonts w:hint="eastAsia" w:ascii="宋体" w:hAnsi="宋体"/>
                <w:szCs w:val="21"/>
              </w:rPr>
              <w:t>须具有护士及以上证书或医师及以上证书。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851" w:type="dxa"/>
            <w:vMerge w:val="restart"/>
            <w:vAlign w:val="center"/>
          </w:tcPr>
          <w:p>
            <w:pPr>
              <w:jc w:val="center"/>
              <w:rPr>
                <w:rFonts w:ascii="宋体" w:hAnsi="宋体"/>
                <w:szCs w:val="21"/>
              </w:rPr>
            </w:pPr>
            <w:r>
              <w:rPr>
                <w:rFonts w:hint="eastAsia" w:ascii="宋体" w:hAnsi="宋体"/>
                <w:szCs w:val="21"/>
              </w:rPr>
              <w:t>医学路径梳理团队</w:t>
            </w:r>
          </w:p>
        </w:tc>
        <w:tc>
          <w:tcPr>
            <w:tcW w:w="4677" w:type="dxa"/>
            <w:vAlign w:val="center"/>
          </w:tcPr>
          <w:p>
            <w:pPr>
              <w:rPr>
                <w:rFonts w:ascii="宋体" w:hAnsi="宋体"/>
                <w:szCs w:val="21"/>
              </w:rPr>
            </w:pPr>
            <w:r>
              <w:rPr>
                <w:rFonts w:hint="eastAsia" w:ascii="宋体" w:hAnsi="宋体"/>
                <w:szCs w:val="21"/>
              </w:rPr>
              <w:t>负责人的</w:t>
            </w:r>
            <w:r>
              <w:rPr>
                <w:rFonts w:ascii="宋体" w:hAnsi="宋体"/>
                <w:szCs w:val="21"/>
              </w:rPr>
              <w:t>工作职责</w:t>
            </w:r>
            <w:r>
              <w:rPr>
                <w:rFonts w:hint="eastAsia" w:ascii="宋体" w:hAnsi="宋体"/>
                <w:szCs w:val="21"/>
              </w:rPr>
              <w:t>：</w:t>
            </w:r>
          </w:p>
          <w:p>
            <w:pPr>
              <w:rPr>
                <w:rFonts w:ascii="宋体" w:hAnsi="宋体"/>
                <w:szCs w:val="21"/>
              </w:rPr>
            </w:pPr>
            <w:r>
              <w:rPr>
                <w:rFonts w:hint="eastAsia" w:ascii="宋体" w:hAnsi="宋体"/>
                <w:szCs w:val="21"/>
              </w:rPr>
              <w:t>负责与各临床科室主任医师进行关于疾病管理方面的医学沟通、管理成效汇报、疾病管理临床科研方案探讨、临床科研成效分析、成果论文编写等；负责对疾病精细化管理的医学路径梳理有关工作的综合协调和管理。</w:t>
            </w:r>
          </w:p>
        </w:tc>
        <w:tc>
          <w:tcPr>
            <w:tcW w:w="2126" w:type="dxa"/>
            <w:vAlign w:val="center"/>
          </w:tcPr>
          <w:p>
            <w:pPr>
              <w:rPr>
                <w:rFonts w:ascii="宋体" w:hAnsi="宋体"/>
                <w:szCs w:val="21"/>
              </w:rPr>
            </w:pPr>
            <w:r>
              <w:rPr>
                <w:rFonts w:hint="eastAsia" w:ascii="宋体" w:hAnsi="宋体"/>
                <w:szCs w:val="21"/>
              </w:rPr>
              <w:t>1.1人；</w:t>
            </w:r>
          </w:p>
          <w:p>
            <w:pPr>
              <w:rPr>
                <w:rFonts w:ascii="宋体" w:hAnsi="宋体"/>
                <w:szCs w:val="21"/>
              </w:rPr>
            </w:pPr>
            <w:r>
              <w:rPr>
                <w:rFonts w:hint="eastAsia" w:ascii="宋体" w:hAnsi="宋体"/>
                <w:szCs w:val="21"/>
              </w:rPr>
              <w:t>2.具有住院医师及以上证书。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4677" w:type="dxa"/>
            <w:vAlign w:val="center"/>
          </w:tcPr>
          <w:p>
            <w:pPr>
              <w:rPr>
                <w:rFonts w:ascii="宋体" w:hAnsi="宋体"/>
                <w:szCs w:val="21"/>
              </w:rPr>
            </w:pPr>
            <w:r>
              <w:rPr>
                <w:rFonts w:hint="eastAsia" w:ascii="宋体" w:hAnsi="宋体"/>
                <w:szCs w:val="21"/>
              </w:rPr>
              <w:t>其他成员的</w:t>
            </w:r>
            <w:r>
              <w:rPr>
                <w:rFonts w:ascii="宋体" w:hAnsi="宋体"/>
                <w:szCs w:val="21"/>
              </w:rPr>
              <w:t>工作职责</w:t>
            </w:r>
            <w:r>
              <w:rPr>
                <w:rFonts w:hint="eastAsia" w:ascii="宋体" w:hAnsi="宋体"/>
                <w:szCs w:val="21"/>
              </w:rPr>
              <w:t>：</w:t>
            </w:r>
          </w:p>
          <w:p>
            <w:pPr>
              <w:rPr>
                <w:rFonts w:ascii="宋体" w:hAnsi="宋体"/>
                <w:szCs w:val="21"/>
              </w:rPr>
            </w:pPr>
            <w:r>
              <w:rPr>
                <w:rFonts w:hint="eastAsia" w:ascii="宋体" w:hAnsi="宋体"/>
                <w:szCs w:val="21"/>
              </w:rPr>
              <w:t>负责与各临床科室的专科医生、专科护士进行医学沟通；负责诊后疾病精细化管理路径的具体医学梳理及编制；负责疾病管理过程中的疑难问题的医学解答等工作；负责对个案管理师团队提供医学支持工作；</w:t>
            </w:r>
          </w:p>
        </w:tc>
        <w:tc>
          <w:tcPr>
            <w:tcW w:w="2126" w:type="dxa"/>
            <w:vAlign w:val="center"/>
          </w:tcPr>
          <w:p>
            <w:pPr>
              <w:rPr>
                <w:rFonts w:ascii="宋体" w:hAnsi="宋体"/>
                <w:szCs w:val="21"/>
              </w:rPr>
            </w:pPr>
            <w:r>
              <w:rPr>
                <w:rFonts w:hint="eastAsia" w:ascii="宋体" w:hAnsi="宋体"/>
                <w:szCs w:val="21"/>
              </w:rPr>
              <w:t>1.不少于</w:t>
            </w:r>
            <w:r>
              <w:rPr>
                <w:rFonts w:ascii="宋体" w:hAnsi="宋体"/>
                <w:szCs w:val="21"/>
              </w:rPr>
              <w:t>2</w:t>
            </w:r>
            <w:r>
              <w:rPr>
                <w:rFonts w:hint="eastAsia" w:ascii="宋体" w:hAnsi="宋体"/>
                <w:szCs w:val="21"/>
              </w:rPr>
              <w:t>人；</w:t>
            </w:r>
          </w:p>
          <w:p>
            <w:pPr>
              <w:rPr>
                <w:rFonts w:ascii="宋体" w:hAnsi="宋体"/>
                <w:szCs w:val="21"/>
              </w:rPr>
            </w:pPr>
            <w:r>
              <w:rPr>
                <w:rFonts w:hint="eastAsia" w:ascii="宋体" w:hAnsi="宋体"/>
                <w:szCs w:val="21"/>
              </w:rPr>
              <w:t>2.其中具有住院医师及以上证书的人员不少于1人。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851" w:type="dxa"/>
            <w:vMerge w:val="restart"/>
            <w:vAlign w:val="center"/>
          </w:tcPr>
          <w:p>
            <w:pPr>
              <w:jc w:val="center"/>
              <w:rPr>
                <w:rFonts w:ascii="宋体" w:hAnsi="宋体"/>
                <w:szCs w:val="21"/>
              </w:rPr>
            </w:pPr>
            <w:r>
              <w:rPr>
                <w:rFonts w:hint="eastAsia" w:ascii="宋体" w:hAnsi="宋体"/>
                <w:szCs w:val="21"/>
              </w:rPr>
              <w:t>医学内容编制团队</w:t>
            </w:r>
          </w:p>
        </w:tc>
        <w:tc>
          <w:tcPr>
            <w:tcW w:w="4677" w:type="dxa"/>
            <w:vAlign w:val="center"/>
          </w:tcPr>
          <w:p>
            <w:pPr>
              <w:rPr>
                <w:rFonts w:ascii="宋体" w:hAnsi="宋体"/>
                <w:szCs w:val="21"/>
              </w:rPr>
            </w:pPr>
            <w:r>
              <w:rPr>
                <w:rFonts w:hint="eastAsia" w:ascii="宋体" w:hAnsi="宋体"/>
                <w:szCs w:val="21"/>
              </w:rPr>
              <w:t>负责人的</w:t>
            </w:r>
            <w:r>
              <w:rPr>
                <w:rFonts w:ascii="宋体" w:hAnsi="宋体"/>
                <w:szCs w:val="21"/>
              </w:rPr>
              <w:t>工作职责</w:t>
            </w:r>
            <w:r>
              <w:rPr>
                <w:rFonts w:hint="eastAsia" w:ascii="宋体" w:hAnsi="宋体"/>
                <w:szCs w:val="21"/>
              </w:rPr>
              <w:t>：</w:t>
            </w:r>
          </w:p>
          <w:p>
            <w:pPr>
              <w:rPr>
                <w:rFonts w:ascii="宋体" w:hAnsi="宋体"/>
                <w:szCs w:val="21"/>
              </w:rPr>
            </w:pPr>
            <w:r>
              <w:rPr>
                <w:rFonts w:hint="eastAsia" w:ascii="宋体" w:hAnsi="宋体"/>
                <w:szCs w:val="21"/>
              </w:rPr>
              <w:t>把控整个医学内容编制团队医学内容编制工作的管理和协调工作。</w:t>
            </w:r>
          </w:p>
        </w:tc>
        <w:tc>
          <w:tcPr>
            <w:tcW w:w="2126" w:type="dxa"/>
            <w:vAlign w:val="center"/>
          </w:tcPr>
          <w:p>
            <w:pPr>
              <w:rPr>
                <w:rFonts w:ascii="宋体" w:hAnsi="宋体"/>
                <w:szCs w:val="21"/>
              </w:rPr>
            </w:pPr>
            <w:r>
              <w:rPr>
                <w:rFonts w:hint="eastAsia" w:ascii="宋体" w:hAnsi="宋体"/>
                <w:szCs w:val="21"/>
              </w:rPr>
              <w:t>1.1人；</w:t>
            </w:r>
          </w:p>
          <w:p>
            <w:pPr>
              <w:rPr>
                <w:rFonts w:ascii="宋体" w:hAnsi="宋体"/>
                <w:szCs w:val="21"/>
              </w:rPr>
            </w:pPr>
            <w:r>
              <w:rPr>
                <w:rFonts w:hint="eastAsia" w:ascii="宋体" w:hAnsi="宋体"/>
                <w:szCs w:val="21"/>
              </w:rPr>
              <w:t>2.具有住院医师及以上证书。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4677" w:type="dxa"/>
            <w:vAlign w:val="center"/>
          </w:tcPr>
          <w:p>
            <w:pPr>
              <w:rPr>
                <w:rFonts w:ascii="宋体" w:hAnsi="宋体"/>
                <w:szCs w:val="21"/>
              </w:rPr>
            </w:pPr>
            <w:r>
              <w:rPr>
                <w:rFonts w:hint="eastAsia" w:ascii="宋体" w:hAnsi="宋体"/>
                <w:szCs w:val="21"/>
              </w:rPr>
              <w:t>其他成员的</w:t>
            </w:r>
            <w:r>
              <w:rPr>
                <w:rFonts w:ascii="宋体" w:hAnsi="宋体"/>
                <w:szCs w:val="21"/>
              </w:rPr>
              <w:t>工作职责</w:t>
            </w:r>
            <w:r>
              <w:rPr>
                <w:rFonts w:hint="eastAsia" w:ascii="宋体" w:hAnsi="宋体"/>
                <w:szCs w:val="21"/>
              </w:rPr>
              <w:t>：</w:t>
            </w:r>
          </w:p>
          <w:p>
            <w:pPr>
              <w:rPr>
                <w:rFonts w:ascii="宋体" w:hAnsi="宋体"/>
                <w:szCs w:val="21"/>
              </w:rPr>
            </w:pPr>
            <w:r>
              <w:rPr>
                <w:rFonts w:hint="eastAsia" w:ascii="宋体" w:hAnsi="宋体"/>
                <w:szCs w:val="21"/>
              </w:rPr>
              <w:t>负责在医生团队的指导下，根据疾病管理服务医学路径的具体要求，编制面向患者的各个健康宣教、疾病宣教内容，包括居家护理指导、居家心理宣教、用药指导、饮食指导、运动康复指导等相关的医学图文视频编制、拍摄、剪辑等；</w:t>
            </w:r>
          </w:p>
        </w:tc>
        <w:tc>
          <w:tcPr>
            <w:tcW w:w="2126" w:type="dxa"/>
            <w:vAlign w:val="center"/>
          </w:tcPr>
          <w:p>
            <w:pPr>
              <w:rPr>
                <w:rFonts w:ascii="宋体" w:hAnsi="宋体"/>
                <w:szCs w:val="21"/>
              </w:rPr>
            </w:pPr>
            <w:r>
              <w:rPr>
                <w:rFonts w:hint="eastAsia" w:ascii="宋体" w:hAnsi="宋体"/>
                <w:szCs w:val="21"/>
              </w:rPr>
              <w:t>1.不少于10人，团队成员中有护理、营养、摄影及影片脚本创作等相关工作经验的人员配备；</w:t>
            </w:r>
          </w:p>
          <w:p>
            <w:pPr>
              <w:rPr>
                <w:rFonts w:ascii="宋体" w:hAnsi="宋体"/>
                <w:szCs w:val="21"/>
              </w:rPr>
            </w:pPr>
            <w:r>
              <w:rPr>
                <w:rFonts w:hint="eastAsia" w:ascii="宋体" w:hAnsi="宋体"/>
                <w:szCs w:val="21"/>
              </w:rPr>
              <w:t>2.其中具有护士及以上证书的不少于3人；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Cs w:val="21"/>
              </w:rPr>
            </w:pPr>
          </w:p>
        </w:tc>
        <w:tc>
          <w:tcPr>
            <w:tcW w:w="851" w:type="dxa"/>
            <w:vAlign w:val="center"/>
          </w:tcPr>
          <w:p>
            <w:pPr>
              <w:jc w:val="center"/>
              <w:rPr>
                <w:rFonts w:ascii="宋体" w:hAnsi="宋体"/>
                <w:szCs w:val="21"/>
              </w:rPr>
            </w:pPr>
            <w:r>
              <w:rPr>
                <w:rFonts w:hint="eastAsia" w:ascii="宋体" w:hAnsi="宋体"/>
                <w:szCs w:val="21"/>
              </w:rPr>
              <w:t>软件支持团队</w:t>
            </w:r>
          </w:p>
        </w:tc>
        <w:tc>
          <w:tcPr>
            <w:tcW w:w="4677" w:type="dxa"/>
            <w:vAlign w:val="center"/>
          </w:tcPr>
          <w:p>
            <w:pPr>
              <w:rPr>
                <w:rFonts w:ascii="宋体" w:hAnsi="宋体"/>
                <w:szCs w:val="21"/>
              </w:rPr>
            </w:pPr>
            <w:r>
              <w:rPr>
                <w:rFonts w:hint="eastAsia" w:ascii="宋体" w:hAnsi="宋体"/>
                <w:szCs w:val="21"/>
              </w:rPr>
              <w:t>负责根据采购人提出的疾病管理相关的业务需求，对疾病精细化管理软件进行持续迭代完善。</w:t>
            </w:r>
          </w:p>
        </w:tc>
        <w:tc>
          <w:tcPr>
            <w:tcW w:w="2126" w:type="dxa"/>
            <w:vAlign w:val="center"/>
          </w:tcPr>
          <w:p>
            <w:pPr>
              <w:rPr>
                <w:rFonts w:ascii="宋体" w:hAnsi="宋体"/>
                <w:szCs w:val="21"/>
              </w:rPr>
            </w:pPr>
            <w:r>
              <w:rPr>
                <w:rFonts w:hint="eastAsia" w:ascii="宋体" w:hAnsi="宋体"/>
                <w:szCs w:val="21"/>
              </w:rPr>
              <w:t>1.不少于3人；</w:t>
            </w:r>
          </w:p>
          <w:p>
            <w:pPr>
              <w:rPr>
                <w:rFonts w:ascii="宋体" w:hAnsi="宋体"/>
                <w:szCs w:val="21"/>
              </w:rPr>
            </w:pPr>
            <w:r>
              <w:rPr>
                <w:rFonts w:hint="eastAsia" w:ascii="宋体" w:hAnsi="宋体"/>
                <w:szCs w:val="21"/>
              </w:rPr>
              <w:t>2.团队负责人有项目管理、系统集成、IT软件系统架构及开发等相关工作经验。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restart"/>
            <w:vAlign w:val="center"/>
          </w:tcPr>
          <w:p>
            <w:pPr>
              <w:jc w:val="center"/>
              <w:rPr>
                <w:rFonts w:ascii="宋体" w:hAnsi="宋体"/>
                <w:szCs w:val="21"/>
              </w:rPr>
            </w:pPr>
            <w:r>
              <w:rPr>
                <w:rFonts w:ascii="宋体" w:hAnsi="宋体"/>
                <w:szCs w:val="21"/>
              </w:rPr>
              <w:t>3</w:t>
            </w:r>
          </w:p>
        </w:tc>
        <w:tc>
          <w:tcPr>
            <w:tcW w:w="1702" w:type="dxa"/>
            <w:gridSpan w:val="2"/>
            <w:vMerge w:val="restart"/>
            <w:vAlign w:val="center"/>
          </w:tcPr>
          <w:p>
            <w:pPr>
              <w:jc w:val="center"/>
              <w:rPr>
                <w:rFonts w:ascii="宋体" w:hAnsi="宋体"/>
                <w:szCs w:val="21"/>
              </w:rPr>
            </w:pPr>
            <w:r>
              <w:rPr>
                <w:rFonts w:hint="eastAsia" w:ascii="宋体" w:hAnsi="宋体"/>
                <w:szCs w:val="21"/>
              </w:rPr>
              <w:t>个案管理师团队</w:t>
            </w:r>
          </w:p>
        </w:tc>
        <w:tc>
          <w:tcPr>
            <w:tcW w:w="4677" w:type="dxa"/>
            <w:vAlign w:val="center"/>
          </w:tcPr>
          <w:p>
            <w:pPr>
              <w:rPr>
                <w:rFonts w:ascii="宋体" w:hAnsi="宋体"/>
                <w:szCs w:val="21"/>
              </w:rPr>
            </w:pPr>
            <w:r>
              <w:rPr>
                <w:rFonts w:hint="eastAsia" w:ascii="宋体" w:hAnsi="宋体"/>
                <w:szCs w:val="21"/>
              </w:rPr>
              <w:t>负责人的</w:t>
            </w:r>
            <w:r>
              <w:rPr>
                <w:rFonts w:ascii="宋体" w:hAnsi="宋体"/>
                <w:szCs w:val="21"/>
              </w:rPr>
              <w:t>工作职责</w:t>
            </w:r>
            <w:r>
              <w:rPr>
                <w:rFonts w:hint="eastAsia" w:ascii="宋体" w:hAnsi="宋体"/>
                <w:szCs w:val="21"/>
              </w:rPr>
              <w:t>：</w:t>
            </w:r>
          </w:p>
          <w:p>
            <w:pPr>
              <w:rPr>
                <w:rFonts w:ascii="宋体" w:hAnsi="宋体"/>
                <w:szCs w:val="21"/>
              </w:rPr>
            </w:pPr>
            <w:r>
              <w:rPr>
                <w:rFonts w:hint="eastAsia" w:ascii="宋体" w:hAnsi="宋体"/>
                <w:szCs w:val="21"/>
              </w:rPr>
              <w:t>负责指导团队其他成员开展业务工作；负责与健康监测异常的患者进行深度沟通并衔接到其原主诊医生；审核患者院后疾病管理方案；处理患者管理过程中的疑难问题及制作个案管理报告等。</w:t>
            </w:r>
          </w:p>
        </w:tc>
        <w:tc>
          <w:tcPr>
            <w:tcW w:w="2126" w:type="dxa"/>
            <w:vAlign w:val="center"/>
          </w:tcPr>
          <w:p>
            <w:pPr>
              <w:rPr>
                <w:rFonts w:ascii="宋体" w:hAnsi="宋体"/>
                <w:szCs w:val="21"/>
              </w:rPr>
            </w:pPr>
            <w:r>
              <w:rPr>
                <w:rFonts w:hint="eastAsia" w:ascii="宋体" w:hAnsi="宋体"/>
                <w:szCs w:val="21"/>
              </w:rPr>
              <w:t>1.1人；</w:t>
            </w:r>
          </w:p>
          <w:p>
            <w:pPr>
              <w:rPr>
                <w:rFonts w:ascii="宋体" w:hAnsi="宋体"/>
                <w:szCs w:val="21"/>
              </w:rPr>
            </w:pPr>
            <w:r>
              <w:rPr>
                <w:rFonts w:hint="eastAsia" w:ascii="宋体" w:hAnsi="宋体"/>
                <w:szCs w:val="21"/>
              </w:rPr>
              <w:t>2.护理管理经验丰富；</w:t>
            </w:r>
          </w:p>
          <w:p>
            <w:pPr>
              <w:rPr>
                <w:rFonts w:ascii="宋体" w:hAnsi="宋体"/>
                <w:szCs w:val="21"/>
              </w:rPr>
            </w:pPr>
            <w:r>
              <w:rPr>
                <w:rFonts w:hint="eastAsia" w:ascii="宋体" w:hAnsi="宋体"/>
                <w:szCs w:val="21"/>
              </w:rPr>
              <w:t>3.具有护士及以上证书。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45" w:type="dxa"/>
            <w:bottom w:w="17" w:type="dxa"/>
            <w:right w:w="45" w:type="dxa"/>
          </w:tblCellMar>
        </w:tblPrEx>
        <w:trPr>
          <w:trHeight w:val="20" w:hRule="atLeast"/>
        </w:trPr>
        <w:tc>
          <w:tcPr>
            <w:tcW w:w="562" w:type="dxa"/>
            <w:vMerge w:val="continue"/>
            <w:vAlign w:val="center"/>
          </w:tcPr>
          <w:p>
            <w:pPr>
              <w:jc w:val="center"/>
              <w:rPr>
                <w:rFonts w:ascii="宋体" w:hAnsi="宋体"/>
                <w:szCs w:val="21"/>
              </w:rPr>
            </w:pPr>
          </w:p>
        </w:tc>
        <w:tc>
          <w:tcPr>
            <w:tcW w:w="1702" w:type="dxa"/>
            <w:gridSpan w:val="2"/>
            <w:vMerge w:val="continue"/>
            <w:vAlign w:val="center"/>
          </w:tcPr>
          <w:p>
            <w:pPr>
              <w:jc w:val="center"/>
              <w:rPr>
                <w:rFonts w:ascii="宋体" w:hAnsi="宋体"/>
                <w:szCs w:val="21"/>
              </w:rPr>
            </w:pPr>
          </w:p>
        </w:tc>
        <w:tc>
          <w:tcPr>
            <w:tcW w:w="4677" w:type="dxa"/>
            <w:vAlign w:val="center"/>
          </w:tcPr>
          <w:p>
            <w:pPr>
              <w:rPr>
                <w:rFonts w:ascii="宋体" w:hAnsi="宋体"/>
                <w:szCs w:val="21"/>
              </w:rPr>
            </w:pPr>
            <w:r>
              <w:rPr>
                <w:rFonts w:hint="eastAsia" w:ascii="宋体" w:hAnsi="宋体"/>
                <w:szCs w:val="21"/>
              </w:rPr>
              <w:t>其他成员的</w:t>
            </w:r>
            <w:r>
              <w:rPr>
                <w:rFonts w:ascii="宋体" w:hAnsi="宋体"/>
                <w:szCs w:val="21"/>
              </w:rPr>
              <w:t>工作职责</w:t>
            </w:r>
            <w:r>
              <w:rPr>
                <w:rFonts w:hint="eastAsia" w:ascii="宋体" w:hAnsi="宋体"/>
                <w:szCs w:val="21"/>
              </w:rPr>
              <w:t>：负责根据患者精细化管理方案路径上确定的工作内容，与患者联系落实，包括受理咨询电话、专病随访、用药不良反应指导、异常症状采集、居家护理指导、居家营养指导、患者心理初步疏导等工作。</w:t>
            </w:r>
          </w:p>
        </w:tc>
        <w:tc>
          <w:tcPr>
            <w:tcW w:w="2126" w:type="dxa"/>
            <w:vAlign w:val="center"/>
          </w:tcPr>
          <w:p>
            <w:pPr>
              <w:rPr>
                <w:rFonts w:ascii="宋体" w:hAnsi="宋体"/>
                <w:szCs w:val="21"/>
              </w:rPr>
            </w:pPr>
            <w:r>
              <w:rPr>
                <w:rFonts w:hint="eastAsia" w:ascii="宋体" w:hAnsi="宋体"/>
                <w:szCs w:val="21"/>
              </w:rPr>
              <w:t>1.不少于10人</w:t>
            </w:r>
          </w:p>
          <w:p>
            <w:pPr>
              <w:rPr>
                <w:rFonts w:ascii="宋体" w:hAnsi="宋体"/>
                <w:szCs w:val="21"/>
              </w:rPr>
            </w:pPr>
            <w:r>
              <w:rPr>
                <w:rFonts w:hint="eastAsia" w:ascii="宋体" w:hAnsi="宋体"/>
                <w:szCs w:val="21"/>
              </w:rPr>
              <w:t>2.其中具有初级护师及以上证书的人员不少于6人；</w:t>
            </w:r>
          </w:p>
        </w:tc>
      </w:tr>
    </w:tbl>
    <w:p>
      <w:pPr>
        <w:pStyle w:val="2"/>
        <w:tabs>
          <w:tab w:val="left" w:pos="1872"/>
        </w:tabs>
        <w:spacing w:line="360" w:lineRule="auto"/>
        <w:ind w:firstLine="482"/>
        <w:rPr>
          <w:rFonts w:ascii="宋体" w:hAnsi="宋体" w:eastAsia="宋体"/>
          <w:b/>
          <w:sz w:val="24"/>
          <w:szCs w:val="24"/>
        </w:rPr>
      </w:pPr>
      <w:r>
        <w:rPr>
          <w:rFonts w:ascii="宋体" w:hAnsi="宋体" w:eastAsia="宋体"/>
          <w:b/>
          <w:sz w:val="24"/>
          <w:szCs w:val="24"/>
        </w:rPr>
        <w:t>注：</w:t>
      </w:r>
    </w:p>
    <w:p>
      <w:pPr>
        <w:pStyle w:val="2"/>
        <w:tabs>
          <w:tab w:val="left" w:pos="1872"/>
        </w:tabs>
        <w:spacing w:line="360" w:lineRule="auto"/>
        <w:ind w:firstLine="482"/>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w:t>
      </w:r>
      <w:r>
        <w:rPr>
          <w:rFonts w:hint="eastAsia" w:ascii="宋体" w:hAnsi="宋体" w:eastAsia="宋体"/>
          <w:b/>
          <w:sz w:val="24"/>
          <w:szCs w:val="24"/>
        </w:rPr>
        <w:t>在服务期内，服务供应商所有服务人员的事故由服务供应商自行全权负责（如服务供应商应对其员工投保人身意外险等）。</w:t>
      </w:r>
    </w:p>
    <w:p>
      <w:pPr>
        <w:pStyle w:val="2"/>
        <w:tabs>
          <w:tab w:val="left" w:pos="1872"/>
        </w:tabs>
        <w:spacing w:line="360" w:lineRule="auto"/>
        <w:ind w:firstLine="482"/>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.项目配置人员必须为服务供应商的正式员工，并签订劳动合同。</w:t>
      </w:r>
    </w:p>
    <w:p>
      <w:pPr>
        <w:pStyle w:val="2"/>
        <w:tabs>
          <w:tab w:val="left" w:pos="1872"/>
        </w:tabs>
        <w:spacing w:line="360" w:lineRule="auto"/>
        <w:ind w:firstLine="482"/>
        <w:rPr>
          <w:rFonts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.服务供应商</w:t>
      </w:r>
      <w:r>
        <w:rPr>
          <w:rFonts w:hint="eastAsia" w:ascii="宋体" w:hAnsi="宋体" w:eastAsia="宋体"/>
          <w:b/>
          <w:sz w:val="24"/>
          <w:szCs w:val="24"/>
        </w:rPr>
        <w:t>对符合缴纳五险的服务人员按政府规定社会保险缴费基数进行缴纳，所有服务人员的工资、社保、奖金、福利均由服务供应商承担。</w:t>
      </w:r>
    </w:p>
    <w:p>
      <w:pPr>
        <w:pStyle w:val="3"/>
        <w:spacing w:line="360" w:lineRule="auto"/>
        <w:ind w:firstLine="482" w:firstLineChars="200"/>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服务供应商须承诺按不少于上表要求的人数进行人员配置。</w:t>
      </w:r>
    </w:p>
    <w:p>
      <w:pPr>
        <w:pStyle w:val="9"/>
        <w:spacing w:before="31" w:after="31"/>
        <w:rPr>
          <w:rFonts w:ascii="宋体" w:hAnsi="宋体" w:eastAsia="宋体"/>
        </w:rPr>
      </w:pPr>
      <w:r>
        <w:rPr>
          <w:rFonts w:ascii="宋体" w:hAnsi="宋体" w:eastAsia="宋体"/>
        </w:rPr>
        <w:t>四、</w:t>
      </w:r>
      <w:r>
        <w:rPr>
          <w:rFonts w:hint="eastAsia" w:ascii="宋体" w:hAnsi="宋体" w:eastAsia="宋体"/>
        </w:rPr>
        <w:t>服务内容要求</w:t>
      </w:r>
    </w:p>
    <w:p>
      <w:pPr>
        <w:pStyle w:val="3"/>
        <w:spacing w:line="360" w:lineRule="auto"/>
        <w:ind w:firstLine="482" w:firstLineChars="200"/>
        <w:outlineLvl w:val="2"/>
        <w:rPr>
          <w:rFonts w:ascii="宋体" w:hAnsi="宋体"/>
          <w:b/>
          <w:sz w:val="24"/>
        </w:rPr>
      </w:pPr>
      <w:r>
        <w:rPr>
          <w:rFonts w:hint="eastAsia" w:ascii="宋体" w:hAnsi="宋体"/>
          <w:b/>
          <w:sz w:val="24"/>
        </w:rPr>
        <w:t>1.服务内容一览表</w:t>
      </w:r>
    </w:p>
    <w:p>
      <w:pPr>
        <w:pStyle w:val="3"/>
        <w:spacing w:line="360" w:lineRule="auto"/>
        <w:ind w:firstLine="480" w:firstLineChars="200"/>
        <w:rPr>
          <w:rFonts w:ascii="宋体" w:hAnsi="宋体"/>
          <w:sz w:val="24"/>
        </w:rPr>
      </w:pPr>
      <w:r>
        <w:rPr>
          <w:rFonts w:hint="eastAsia" w:ascii="宋体" w:hAnsi="宋体"/>
          <w:sz w:val="24"/>
        </w:rPr>
        <w:t>服务供应商需以各套餐包形式为我院患者提供连续性的诊后疾病精细化管理服务，服务套餐包包括但不限于以下内容：</w:t>
      </w:r>
    </w:p>
    <w:p>
      <w:pPr>
        <w:pStyle w:val="3"/>
        <w:spacing w:line="360" w:lineRule="auto"/>
        <w:ind w:firstLine="482" w:firstLineChars="200"/>
        <w:jc w:val="center"/>
        <w:rPr>
          <w:rFonts w:ascii="宋体" w:hAnsi="宋体"/>
          <w:b/>
          <w:sz w:val="24"/>
        </w:rPr>
      </w:pPr>
      <w:r>
        <w:rPr>
          <w:rFonts w:hint="eastAsia" w:ascii="宋体" w:hAnsi="宋体"/>
          <w:b/>
          <w:sz w:val="24"/>
        </w:rPr>
        <w:t>表-服务内容一览表</w:t>
      </w:r>
    </w:p>
    <w:tbl>
      <w:tblPr>
        <w:tblStyle w:val="6"/>
        <w:tblW w:w="5000" w:type="pct"/>
        <w:tblInd w:w="0" w:type="dxa"/>
        <w:tblLayout w:type="autofit"/>
        <w:tblCellMar>
          <w:top w:w="0" w:type="dxa"/>
          <w:left w:w="108" w:type="dxa"/>
          <w:bottom w:w="0" w:type="dxa"/>
          <w:right w:w="108" w:type="dxa"/>
        </w:tblCellMar>
      </w:tblPr>
      <w:tblGrid>
        <w:gridCol w:w="729"/>
        <w:gridCol w:w="1876"/>
        <w:gridCol w:w="6236"/>
        <w:gridCol w:w="729"/>
      </w:tblGrid>
      <w:tr>
        <w:tblPrEx>
          <w:tblCellMar>
            <w:top w:w="0" w:type="dxa"/>
            <w:left w:w="108" w:type="dxa"/>
            <w:bottom w:w="0" w:type="dxa"/>
            <w:right w:w="108" w:type="dxa"/>
          </w:tblCellMar>
        </w:tblPrEx>
        <w:trPr>
          <w:trHeight w:val="480" w:hRule="atLeast"/>
        </w:trPr>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333F4F"/>
                <w:kern w:val="0"/>
                <w:szCs w:val="21"/>
              </w:rPr>
            </w:pPr>
            <w:r>
              <w:rPr>
                <w:rFonts w:hint="eastAsia" w:ascii="宋体" w:hAnsi="宋体" w:cs="宋体"/>
                <w:b/>
                <w:bCs/>
                <w:color w:val="333F4F"/>
                <w:kern w:val="0"/>
                <w:szCs w:val="21"/>
              </w:rPr>
              <w:t>序号</w:t>
            </w:r>
          </w:p>
        </w:tc>
        <w:tc>
          <w:tcPr>
            <w:tcW w:w="9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333F4F"/>
                <w:kern w:val="0"/>
                <w:szCs w:val="21"/>
              </w:rPr>
            </w:pPr>
            <w:r>
              <w:rPr>
                <w:rFonts w:hint="eastAsia" w:ascii="宋体" w:hAnsi="宋体" w:cs="宋体"/>
                <w:b/>
                <w:bCs/>
                <w:color w:val="333F4F"/>
                <w:kern w:val="0"/>
                <w:szCs w:val="21"/>
              </w:rPr>
              <w:t>服务项目名称</w:t>
            </w:r>
          </w:p>
        </w:tc>
        <w:tc>
          <w:tcPr>
            <w:tcW w:w="32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333F4F"/>
                <w:kern w:val="0"/>
                <w:szCs w:val="21"/>
              </w:rPr>
            </w:pPr>
            <w:r>
              <w:rPr>
                <w:rFonts w:hint="eastAsia" w:ascii="宋体" w:hAnsi="宋体" w:cs="宋体"/>
                <w:b/>
                <w:bCs/>
                <w:color w:val="333F4F"/>
                <w:kern w:val="0"/>
                <w:szCs w:val="21"/>
              </w:rPr>
              <w:t>服务工作内容</w:t>
            </w:r>
          </w:p>
        </w:tc>
        <w:tc>
          <w:tcPr>
            <w:tcW w:w="3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333F4F"/>
                <w:kern w:val="0"/>
                <w:szCs w:val="21"/>
              </w:rPr>
            </w:pPr>
            <w:r>
              <w:rPr>
                <w:rFonts w:hint="eastAsia" w:ascii="宋体" w:hAnsi="宋体" w:cs="宋体"/>
                <w:b/>
                <w:bCs/>
                <w:color w:val="333F4F"/>
                <w:kern w:val="0"/>
                <w:szCs w:val="21"/>
              </w:rPr>
              <w:t>单位</w:t>
            </w:r>
          </w:p>
        </w:tc>
      </w:tr>
      <w:tr>
        <w:tblPrEx>
          <w:tblCellMar>
            <w:top w:w="0" w:type="dxa"/>
            <w:left w:w="108" w:type="dxa"/>
            <w:bottom w:w="0" w:type="dxa"/>
            <w:right w:w="108" w:type="dxa"/>
          </w:tblCellMar>
        </w:tblPrEx>
        <w:trPr>
          <w:trHeight w:val="120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1</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w:t>
            </w:r>
            <w:r>
              <w:rPr>
                <w:rFonts w:hint="eastAsia"/>
                <w:color w:val="000000"/>
                <w:szCs w:val="21"/>
                <w:lang w:val="en-US" w:eastAsia="zh-Hans"/>
              </w:rPr>
              <w:t>短期</w:t>
            </w:r>
            <w:r>
              <w:rPr>
                <w:rFonts w:hint="eastAsia"/>
                <w:color w:val="000000"/>
                <w:szCs w:val="21"/>
              </w:rPr>
              <w:t>精细化强管理</w:t>
            </w:r>
          </w:p>
        </w:tc>
        <w:tc>
          <w:tcPr>
            <w:tcW w:w="325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精细化短期强管理路径，由医生、护士、健康管理师等组成的疾病管理团队成员，通过电话、微信、小程序、APP、现场等方式，对购买了此项服务的患者提供专病精细化短期强管理服务工作，包括主动为患者提供1次疾病管理方案制订，2次疾病评估/干预指导，2次用药评估/干预指导（按患者病情及医嘱要求），1次营养评估/干预指导，2次管道伤口等护理评估/干预指导（按患者病情及医嘱要求），2次复诊提醒及1次协助预约挂号，2次阶段性管理点评，同时管理期内可根据患者需要提供4次来电或在线健康咨询服务；管理期一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168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2</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专病精细化标准管理</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精细化标准管理路径，由医生、护士、药师、健康管理师等组成的疾病管理团队成员，通过电话、微信、小程序、APP、现场等方式，对购买了此项服务的患者提供专病精细化标准管理服务工作，包括主动为患者提供1次疾病管理方案制订，4次疾病评估/干预指导，4次用药评估/干预指导（按患者病情及医嘱要求），2次营养评估/干预指导及28天营养食谱（按患者病情需求），4次运动评估/干预指导，2次睡眠（心理）评估/干预指导，2次管道伤口等护理评估/干预指导（患者病情及医嘱要求），4次复诊提醒及2次协助预约挂号（按医嘱要求），4次阶段性管理点评，同时管理期内可根据患者需要提供6次来电或在线健康咨询服务；管理期三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192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3</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专病精细化强化管理</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精细化强化管理路径，由医生、护士、药师、健康管理师等组成的疾病管理团队成员，通过电话、微信、小程序、APP、现场等方式，对购买了此项服务的患者提供专病精细化强化管理服务工作，包括主动为患者提供1次疾病管理方案制订，4次疾病评估/干预指导，4次用药评估/干预指导（按患者病情及医嘱要求），2次营养评估/干预指导及84天营养食谱（按患者病情需求），4次运动评估/干预指导，2次睡眠（心理）评估/干预指导，2次管道伤口等护理评估/干预指导（患者病情及医嘱要求），4次复诊提醒及2次协助预约挂号（按医嘱要求），4次阶段性管理点评，同时管理期内可根据患者需要提供8次来电或在线健康咨询服务；管理期三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216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4</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专病精细化全程管理</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精细化全程管理路径，由医生、护士、药师、健康管理师等组成的疾病管理团队成员，通过电话、微信、小程序、APP、现场等方式，对购买了此项服务的患者提供专病精细化全程管理服务工作，包括主动为患者提供1次疾病管理方案制订，4次疾病评估/干预指导，4次用药评估/干预指导（按患者病情及医嘱要求），2次营养评估/干预指导及84天营养食谱（按患者病情需求），4次运动评估/干预指导，2次睡眠（心理）评估/干预指导，2次管道伤口等护理评估/干预指导（患者病情及医嘱要求），4次复诊提醒及2次协助预约挂号（按医嘱要求），4次阶段性管理点评，同时管理期内可根据患者需要提供8次来电或在线健康咨询服务；管理期三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216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5</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专病强干预管理</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强干预管理路径，由医生、护士、健康管理师、营养师、运动康复师等组成的疾病管理团队成员，通过电话、微信、小程序、APP、现场等方式，对购买了此项服务的患者提供专病强干预服务工作，包括为患者提供2次人体体成分分析及报告解读，2次人体测量，1次营养评估，1次营养方案制定，1次营养指导，1次运动评估，1次运动方案制定，1次运动指导，1个月内饮食点评，1个月内运动点评，1次复诊提醒，1次阶段性管理点评，同时管理期内可根据患者需要提供在线的社群健康咨询服务，按需提供远程健康指标异常跟踪服务；管理期一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216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6</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专病强干预综合管理</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强干预综合管理路径，由医生、护士、健康管理师、营养师、运动康复师等组成的疾病管理团队成员，通过电话、微信、小程序、APP、现场等方式，对购买了此项服务的患者提供专病强干预综合管理服务工作，包括对相关患者提供专病与生活方式综合管理工作；提供2次人体体成分分析及报告解读，2次人体测量，1次营养评估，1次营养方案制定，1次营养指导，1个月内饮食点评，1次运动评估，1次运动方案制定，1次运动指导，1个月内运动点评，1次复诊提醒，1次阶段性管理点评，同时管理期内可根据患者需要提供在线的社群健康咨询服务，按需提供远程健康指标异常跟踪服务；管理期一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r>
        <w:tblPrEx>
          <w:tblCellMar>
            <w:top w:w="0" w:type="dxa"/>
            <w:left w:w="108" w:type="dxa"/>
            <w:bottom w:w="0" w:type="dxa"/>
            <w:right w:w="108" w:type="dxa"/>
          </w:tblCellMar>
        </w:tblPrEx>
        <w:trPr>
          <w:trHeight w:val="2160" w:hRule="atLeast"/>
        </w:trPr>
        <w:tc>
          <w:tcPr>
            <w:tcW w:w="38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7</w:t>
            </w:r>
          </w:p>
        </w:tc>
        <w:tc>
          <w:tcPr>
            <w:tcW w:w="98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F4F"/>
                <w:kern w:val="0"/>
                <w:szCs w:val="21"/>
              </w:rPr>
            </w:pPr>
            <w:r>
              <w:rPr>
                <w:rFonts w:hint="eastAsia"/>
                <w:color w:val="000000"/>
                <w:szCs w:val="21"/>
              </w:rPr>
              <w:t>专病治疗性生活方式干预管理服务</w:t>
            </w:r>
          </w:p>
        </w:tc>
        <w:tc>
          <w:tcPr>
            <w:tcW w:w="325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333F4F"/>
                <w:kern w:val="0"/>
                <w:szCs w:val="21"/>
              </w:rPr>
            </w:pPr>
            <w:r>
              <w:rPr>
                <w:rFonts w:hint="eastAsia"/>
                <w:color w:val="000000"/>
                <w:szCs w:val="21"/>
              </w:rPr>
              <w:t>基于离院诊断及专家医生确认的该专病治疗性生活方式干预管理服务路径，由医生、护士、健康管理师、药师、营养师、运动康复师等组成的疾病管理团队成员，通过电话、微信、小程序、APP、现场、面访等方式，对购买了此项服务的患者提供专病治疗性生活方式干预管理服务工作，包括提供至少2次的人体体成分分析和报告解读，至少2次人体测量，至少2次营养评估、至少2次营养管理方案制定、至少2次营养方案指导、3个月内营养点评，至少2次运动评估、至少2次运动方案制订、至少2次运动指导、3个月内运动点评，3次复诊强化提醒，至少2次阶段性管理点评，同时管理期内可根据患者需要提供在线的社群健康咨询服务，按需提供远程健康指标异常跟踪服务；管理期3个月为一个疗程。</w:t>
            </w:r>
          </w:p>
        </w:tc>
        <w:tc>
          <w:tcPr>
            <w:tcW w:w="38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F4F"/>
                <w:kern w:val="0"/>
                <w:szCs w:val="21"/>
              </w:rPr>
            </w:pPr>
            <w:r>
              <w:rPr>
                <w:rFonts w:hint="eastAsia" w:ascii="宋体" w:hAnsi="宋体" w:cs="宋体"/>
                <w:color w:val="333F4F"/>
                <w:kern w:val="0"/>
                <w:szCs w:val="21"/>
              </w:rPr>
              <w:t>疗程</w:t>
            </w:r>
          </w:p>
        </w:tc>
      </w:tr>
    </w:tbl>
    <w:p>
      <w:pPr>
        <w:spacing w:line="360" w:lineRule="auto"/>
      </w:pPr>
      <w:r>
        <w:rPr>
          <w:rFonts w:hint="eastAsia" w:ascii="宋体" w:hAnsi="宋体" w:cs="宋体"/>
          <w:b/>
          <w:color w:val="000000"/>
          <w:szCs w:val="21"/>
        </w:rPr>
        <w:t>注：1）本项目不仅限于上表的服务套餐，</w:t>
      </w:r>
      <w:r>
        <w:rPr>
          <w:rFonts w:hint="eastAsia"/>
          <w:b/>
        </w:rPr>
        <w:t>可根据各临床科室的实际需要在本项目合同协议原则下协商一致后新增。</w:t>
      </w:r>
    </w:p>
    <w:p>
      <w:pPr>
        <w:pStyle w:val="10"/>
        <w:ind w:right="407"/>
        <w:rPr>
          <w:sz w:val="24"/>
        </w:rPr>
      </w:pPr>
      <w:r>
        <w:rPr>
          <w:sz w:val="24"/>
        </w:rPr>
        <w:t>2.</w:t>
      </w:r>
      <w:r>
        <w:rPr>
          <w:rFonts w:hint="eastAsia"/>
          <w:sz w:val="24"/>
        </w:rPr>
        <w:t>服务路径的梳理服务要求</w:t>
      </w:r>
    </w:p>
    <w:p>
      <w:pPr>
        <w:spacing w:line="360" w:lineRule="auto"/>
        <w:ind w:firstLine="480" w:firstLineChars="200"/>
        <w:rPr>
          <w:rFonts w:ascii="宋体" w:hAnsi="宋体" w:cs="宋体"/>
          <w:bCs/>
          <w:sz w:val="24"/>
        </w:rPr>
      </w:pPr>
      <w:r>
        <w:rPr>
          <w:rFonts w:hint="eastAsia" w:ascii="宋体" w:hAnsi="宋体" w:cs="宋体"/>
          <w:bCs/>
          <w:sz w:val="24"/>
        </w:rPr>
        <w:t>本服务项目中，有很大一块任务是要根据临床科室的患者疾病管理要求进行具体的诊后疾病管理路径规范梳理，要求服务供应商基于自身的疾病精细化管理路径知识储备和梳理经验，配合采购人临床医生梳理出适用的疾病和适用的诊后疾病管理路径或方案。服务供应商需负责与各临床科室主任医师进行关于疾病管理方面的医学沟通、管理成效汇报、疾病管理临床科研方案探讨、临床科研成效分析、成果论文编写等，负责对疾病精细化管理的医学路径梳理有关工作的综合协调和管理。另一方面，服务供应商还需负责与各临床科室的专科医生、专科护士进行医学沟通，负责诊后疾病精细化管理路径的具体医学梳理及编制，负责疾病管理过程中的疑难问题的医学解答等工作；负责对个案管理师团队提供医学支持工作。</w:t>
      </w:r>
    </w:p>
    <w:p>
      <w:pPr>
        <w:spacing w:line="360" w:lineRule="auto"/>
        <w:ind w:firstLine="480" w:firstLineChars="200"/>
        <w:rPr>
          <w:rFonts w:ascii="宋体" w:hAnsi="宋体" w:cs="宋体"/>
          <w:bCs/>
          <w:sz w:val="24"/>
        </w:rPr>
      </w:pPr>
      <w:r>
        <w:rPr>
          <w:rFonts w:hint="eastAsia" w:ascii="宋体" w:hAnsi="宋体" w:cs="宋体"/>
          <w:bCs/>
          <w:sz w:val="24"/>
        </w:rPr>
        <w:t>服务供应商应在投标文件中提供不少于3个诊后疾病（疾病需属于恶性肿瘤、慢性病、日间手术和重大手术后、妇女和儿童类疾病、减重管理类等疾病）管理路径规范，路径规范中需详细列明每个管理阶段的具体管理内容和考核规范等，具体管理内容至少应包括上述疾病出现相关并发症、药物不良反应时的病情识别及其应对措施，包括但不限于相应的运动、饮食、关键指标干预等内容及具体病情随访表单内容，包括但不限于随访时间计划、方式方法、宣教视频等内容。</w:t>
      </w:r>
    </w:p>
    <w:p>
      <w:pPr>
        <w:pStyle w:val="10"/>
        <w:ind w:right="407"/>
        <w:rPr>
          <w:sz w:val="24"/>
        </w:rPr>
      </w:pPr>
      <w:r>
        <w:rPr>
          <w:sz w:val="24"/>
        </w:rPr>
        <w:t>3.医学内容的编制服务要求</w:t>
      </w:r>
    </w:p>
    <w:p>
      <w:pPr>
        <w:spacing w:line="360" w:lineRule="auto"/>
        <w:ind w:firstLine="480" w:firstLineChars="200"/>
        <w:rPr>
          <w:rFonts w:ascii="宋体" w:hAnsi="宋体" w:cs="宋体"/>
          <w:bCs/>
          <w:sz w:val="24"/>
        </w:rPr>
      </w:pPr>
      <w:r>
        <w:rPr>
          <w:rFonts w:hint="eastAsia" w:ascii="宋体" w:hAnsi="宋体" w:cs="宋体"/>
          <w:bCs/>
          <w:sz w:val="24"/>
        </w:rPr>
        <w:t>服务供应商还需在采购人的配合下，管理和协调整个项目的医学内容编制工作。根据疾病管理服务医学路径的具体要求，编制面向患者的各个健康宣教、疾病宣教内容，包括居家护理指导、居家心理宣教、用药指导、饮食指导、运动康复指导等相关的医学图文视频编制、拍摄、剪辑等。</w:t>
      </w:r>
    </w:p>
    <w:p>
      <w:pPr>
        <w:pStyle w:val="10"/>
        <w:ind w:right="407"/>
        <w:rPr>
          <w:sz w:val="24"/>
        </w:rPr>
      </w:pPr>
      <w:r>
        <w:rPr>
          <w:sz w:val="24"/>
        </w:rPr>
        <w:t>4.线上线下结合的</w:t>
      </w:r>
      <w:r>
        <w:rPr>
          <w:rFonts w:hint="eastAsia"/>
          <w:sz w:val="24"/>
        </w:rPr>
        <w:t>健康管理</w:t>
      </w:r>
      <w:r>
        <w:rPr>
          <w:sz w:val="24"/>
        </w:rPr>
        <w:t>服务要求</w:t>
      </w:r>
    </w:p>
    <w:p>
      <w:pPr>
        <w:spacing w:line="360" w:lineRule="auto"/>
        <w:ind w:firstLine="480" w:firstLineChars="200"/>
        <w:rPr>
          <w:rFonts w:ascii="宋体" w:hAnsi="宋体"/>
          <w:b/>
        </w:rPr>
      </w:pPr>
      <w:r>
        <w:rPr>
          <w:rFonts w:hint="eastAsia" w:ascii="宋体" w:hAnsi="宋体"/>
          <w:sz w:val="24"/>
        </w:rPr>
        <w:t>本项目为患者提供线上和线下的诊后疾病健康管理服务，</w:t>
      </w:r>
      <w:r>
        <w:rPr>
          <w:rFonts w:hint="eastAsia" w:ascii="宋体" w:hAnsi="宋体" w:cs="宋体"/>
          <w:bCs/>
          <w:sz w:val="24"/>
        </w:rPr>
        <w:t>以循证医学和专家共识为基础，围绕离院诊断的疾病重点，通过与临床专家医生共创设计诊后疾病管理路径，通过互联网、AI技术设计出静态和动态、线下和线上结合的患者管理服务路径，以处方化的形式提供给患者。</w:t>
      </w:r>
    </w:p>
    <w:p>
      <w:pPr>
        <w:spacing w:line="360" w:lineRule="auto"/>
        <w:ind w:firstLine="480" w:firstLineChars="200"/>
        <w:rPr>
          <w:rFonts w:ascii="宋体" w:hAnsi="宋体"/>
          <w:sz w:val="24"/>
        </w:rPr>
      </w:pPr>
      <w:r>
        <w:rPr>
          <w:rFonts w:hint="eastAsia" w:ascii="宋体" w:hAnsi="宋体"/>
          <w:sz w:val="24"/>
        </w:rPr>
        <w:t>线下服务包括但不限于：负责运营管理（包括运营计划、组织、实施和风险控制），制定和执行医学运营策略；负责面向患者进行服务内容现场宣教，协助处理患者投诉，组织患友会，监控服务质量并提出改进建议；对参与本项目的我院医护人员进行培训和疑难解答；协调个案管理师团队与临床医护人员之间的沟通；提供线下非医疗诊断的健康咨询服务。</w:t>
      </w:r>
    </w:p>
    <w:p>
      <w:pPr>
        <w:spacing w:line="360" w:lineRule="auto"/>
        <w:ind w:firstLine="480" w:firstLineChars="200"/>
        <w:rPr>
          <w:rFonts w:ascii="宋体" w:hAnsi="宋体"/>
          <w:sz w:val="24"/>
        </w:rPr>
      </w:pPr>
      <w:r>
        <w:rPr>
          <w:rFonts w:ascii="宋体" w:hAnsi="宋体"/>
          <w:sz w:val="24"/>
        </w:rPr>
        <w:t>线上服务包括但不限于：</w:t>
      </w:r>
    </w:p>
    <w:p>
      <w:pPr>
        <w:spacing w:line="360" w:lineRule="auto"/>
        <w:ind w:firstLine="480" w:firstLineChars="200"/>
        <w:rPr>
          <w:rFonts w:ascii="宋体" w:hAnsi="宋体"/>
          <w:sz w:val="24"/>
        </w:rPr>
      </w:pPr>
      <w:r>
        <w:rPr>
          <w:rFonts w:hint="eastAsia" w:ascii="宋体" w:hAnsi="宋体"/>
          <w:sz w:val="24"/>
        </w:rPr>
        <w:t>负责与健康监测异常的患者进行深度沟通并衔接到其原主诊医生；审核患者院后疾病管理方案；处理患者管理过程中的疑难问题及制作个案管理报告等。</w:t>
      </w:r>
    </w:p>
    <w:p>
      <w:pPr>
        <w:spacing w:line="360" w:lineRule="auto"/>
        <w:ind w:firstLine="480" w:firstLineChars="200"/>
        <w:rPr>
          <w:rFonts w:ascii="宋体" w:hAnsi="宋体"/>
          <w:sz w:val="24"/>
        </w:rPr>
      </w:pPr>
      <w:r>
        <w:rPr>
          <w:rFonts w:hint="eastAsia" w:ascii="宋体" w:hAnsi="宋体"/>
          <w:sz w:val="24"/>
        </w:rPr>
        <w:t>负责根据诊后疾病管理路径上确定的工作内容，与患者联系落实，包括受理咨询电话、专病随访、用药不良反应指导、异常症状采集、居家护理指导、居家营养指导、患者心理初步疏导等服务工作。</w:t>
      </w:r>
    </w:p>
    <w:p>
      <w:pPr>
        <w:pStyle w:val="10"/>
        <w:ind w:right="407"/>
        <w:rPr>
          <w:sz w:val="24"/>
        </w:rPr>
      </w:pPr>
      <w:r>
        <w:rPr>
          <w:sz w:val="24"/>
        </w:rPr>
        <w:t>5</w:t>
      </w:r>
      <w:r>
        <w:rPr>
          <w:rFonts w:hint="eastAsia"/>
          <w:sz w:val="24"/>
        </w:rPr>
        <w:t>.支撑工具的运维服务要求</w:t>
      </w:r>
    </w:p>
    <w:p>
      <w:pPr>
        <w:spacing w:line="360" w:lineRule="auto"/>
        <w:ind w:firstLine="480" w:firstLineChars="200"/>
        <w:rPr>
          <w:rFonts w:ascii="宋体" w:hAnsi="宋体" w:cs="宋体"/>
          <w:bCs/>
          <w:sz w:val="24"/>
        </w:rPr>
      </w:pPr>
      <w:r>
        <w:rPr>
          <w:rFonts w:hint="eastAsia" w:ascii="宋体" w:hAnsi="宋体" w:cs="宋体"/>
          <w:bCs/>
          <w:sz w:val="24"/>
        </w:rPr>
        <w:t>为了保障本项目的顺利落地，服务供应商需配套相应的软硬件支撑工具，并进行常态化的运维服务，运维服务要求：</w:t>
      </w:r>
    </w:p>
    <w:p>
      <w:pPr>
        <w:spacing w:line="360" w:lineRule="auto"/>
        <w:ind w:firstLine="480" w:firstLineChars="200"/>
        <w:rPr>
          <w:rFonts w:ascii="宋体" w:hAnsi="宋体" w:cs="宋体"/>
          <w:bCs/>
          <w:sz w:val="24"/>
        </w:rPr>
      </w:pPr>
      <w:r>
        <w:rPr>
          <w:rFonts w:hint="eastAsia" w:ascii="宋体" w:hAnsi="宋体" w:cs="宋体"/>
          <w:bCs/>
          <w:sz w:val="24"/>
        </w:rPr>
        <w:t>合同期内，为采购人提供7*24小时软硬件支撑工具售后服务支持。</w:t>
      </w:r>
    </w:p>
    <w:p>
      <w:pPr>
        <w:spacing w:line="360" w:lineRule="auto"/>
        <w:ind w:firstLine="480" w:firstLineChars="200"/>
        <w:rPr>
          <w:rFonts w:ascii="宋体" w:hAnsi="宋体" w:cs="宋体"/>
          <w:bCs/>
          <w:sz w:val="24"/>
        </w:rPr>
      </w:pPr>
      <w:r>
        <w:rPr>
          <w:rFonts w:hint="eastAsia" w:ascii="宋体" w:hAnsi="宋体" w:cs="宋体"/>
          <w:bCs/>
          <w:sz w:val="24"/>
        </w:rPr>
        <w:t>向采购人提供每月1次的定期巡查维护服务，定期维护服务内容包括：检查系统软件、后台服务、数据库运行状况等。</w:t>
      </w:r>
    </w:p>
    <w:p>
      <w:pPr>
        <w:spacing w:line="360" w:lineRule="auto"/>
        <w:ind w:firstLine="480" w:firstLineChars="200"/>
        <w:rPr>
          <w:rFonts w:ascii="宋体" w:hAnsi="宋体" w:cs="宋体"/>
          <w:bCs/>
          <w:sz w:val="24"/>
        </w:rPr>
      </w:pPr>
      <w:r>
        <w:rPr>
          <w:rFonts w:hint="eastAsia" w:ascii="宋体" w:hAnsi="宋体" w:cs="宋体"/>
          <w:bCs/>
          <w:sz w:val="24"/>
        </w:rPr>
        <w:t>对软硬件支撑工具故障进行即时处理，要求响应时间不超过半小时。</w:t>
      </w:r>
    </w:p>
    <w:p>
      <w:pPr>
        <w:spacing w:line="360" w:lineRule="auto"/>
        <w:ind w:firstLine="480" w:firstLineChars="200"/>
        <w:rPr>
          <w:rFonts w:ascii="宋体" w:hAnsi="宋体" w:cs="宋体"/>
          <w:bCs/>
          <w:sz w:val="24"/>
        </w:rPr>
      </w:pPr>
      <w:r>
        <w:rPr>
          <w:rFonts w:hint="eastAsia" w:ascii="宋体" w:hAnsi="宋体" w:cs="宋体"/>
          <w:bCs/>
          <w:sz w:val="24"/>
        </w:rPr>
        <w:t>对软硬件支撑工具存在的潜在性错误进行修改，以版本升级形式完成。</w:t>
      </w:r>
    </w:p>
    <w:p>
      <w:pPr>
        <w:pStyle w:val="9"/>
        <w:spacing w:before="31" w:after="31"/>
        <w:rPr>
          <w:rFonts w:ascii="宋体" w:hAnsi="宋体" w:eastAsia="宋体"/>
        </w:rPr>
      </w:pPr>
      <w:r>
        <w:rPr>
          <w:rFonts w:hint="eastAsia" w:ascii="宋体" w:hAnsi="宋体" w:eastAsia="宋体"/>
        </w:rPr>
        <w:t>五、服务进度要求</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合同签订后2个月内完成相关准备工作，包括疾病精细化管理系统软件的安装部署、接口数据对接并通过功能测试等事宜；</w:t>
      </w:r>
    </w:p>
    <w:p>
      <w:pPr>
        <w:spacing w:line="360" w:lineRule="auto"/>
        <w:ind w:firstLine="480" w:firstLineChars="200"/>
        <w:rPr>
          <w:rFonts w:ascii="宋体" w:hAnsi="宋体" w:cs="宋体"/>
          <w:bCs/>
          <w:caps/>
          <w:color w:val="000000"/>
          <w:sz w:val="24"/>
        </w:rPr>
      </w:pPr>
      <w:r>
        <w:rPr>
          <w:rFonts w:hint="eastAsia" w:ascii="宋体" w:hAnsi="宋体" w:cs="宋体"/>
          <w:bCs/>
          <w:color w:val="000000"/>
          <w:sz w:val="24"/>
        </w:rPr>
        <w:t>合同签订后2个月内完成第一批出院人数最多的前50个病种的疾病管理路径医学梳理及医学内容编辑并完善到疾病精细化管理系统中；合同签订后6个月内完成全院所有病区具有诊后疾病管理价值的病种（不少于400个病种）医学梳理及医学内容编辑并完善到疾病管理软件中。</w:t>
      </w:r>
    </w:p>
    <w:p>
      <w:pPr>
        <w:pStyle w:val="9"/>
        <w:spacing w:before="31" w:after="31"/>
        <w:rPr>
          <w:rFonts w:ascii="宋体" w:hAnsi="宋体" w:eastAsia="宋体"/>
        </w:rPr>
      </w:pPr>
      <w:r>
        <w:rPr>
          <w:rFonts w:hint="eastAsia" w:ascii="宋体" w:hAnsi="宋体" w:eastAsia="宋体"/>
        </w:rPr>
        <w:t>六、服务管理能力要求</w:t>
      </w:r>
    </w:p>
    <w:p>
      <w:pPr>
        <w:pStyle w:val="2"/>
        <w:spacing w:line="360" w:lineRule="auto"/>
        <w:ind w:firstLine="480"/>
        <w:rPr>
          <w:rFonts w:ascii="宋体" w:hAnsi="宋体" w:eastAsia="宋体" w:cs="宋体"/>
          <w:bCs/>
          <w:sz w:val="24"/>
        </w:rPr>
      </w:pPr>
      <w:r>
        <w:rPr>
          <w:rFonts w:hint="eastAsia" w:ascii="宋体" w:hAnsi="宋体" w:eastAsia="宋体" w:cs="宋体"/>
          <w:bCs/>
          <w:sz w:val="24"/>
        </w:rPr>
        <w:t>服务供应商应负责整个项目的服务管理体系建设，服务管理体系包括服务的具体工作流程、服务规范、服务规章制度等内容，服务管理需明确每个岗位的具体工作职责及分工界面，需详细阐述患者管理过程中的风险控制、质量控制、办公场地6S标准管理规范等相关内容。</w:t>
      </w:r>
    </w:p>
    <w:p>
      <w:pPr>
        <w:pStyle w:val="9"/>
        <w:spacing w:before="31" w:after="31"/>
        <w:rPr>
          <w:rFonts w:ascii="宋体" w:hAnsi="宋体" w:eastAsia="宋体"/>
        </w:rPr>
      </w:pPr>
      <w:r>
        <w:rPr>
          <w:rFonts w:hint="eastAsia" w:ascii="宋体" w:hAnsi="宋体" w:eastAsia="宋体"/>
        </w:rPr>
        <w:t>七</w:t>
      </w:r>
      <w:r>
        <w:rPr>
          <w:rFonts w:ascii="宋体" w:hAnsi="宋体" w:eastAsia="宋体"/>
        </w:rPr>
        <w:t>、</w:t>
      </w:r>
      <w:r>
        <w:rPr>
          <w:rFonts w:hint="eastAsia" w:ascii="宋体" w:hAnsi="宋体" w:eastAsia="宋体"/>
        </w:rPr>
        <w:t>服务质量要求</w:t>
      </w:r>
    </w:p>
    <w:p>
      <w:pPr>
        <w:pStyle w:val="2"/>
        <w:spacing w:line="360" w:lineRule="auto"/>
        <w:ind w:firstLine="480"/>
        <w:rPr>
          <w:rFonts w:ascii="宋体" w:hAnsi="宋体" w:eastAsia="宋体" w:cs="宋体"/>
          <w:bCs/>
          <w:sz w:val="24"/>
        </w:rPr>
      </w:pPr>
      <w:r>
        <w:rPr>
          <w:rFonts w:hint="eastAsia" w:ascii="宋体" w:hAnsi="宋体" w:eastAsia="宋体" w:cs="宋体"/>
          <w:bCs/>
          <w:sz w:val="24"/>
        </w:rPr>
        <w:t>服务供应商应在投标文件中提供诊后疾病精细化管理服务工作质量的考核标准及相应的绩效考核方案。</w:t>
      </w:r>
    </w:p>
    <w:p>
      <w:pPr>
        <w:pStyle w:val="9"/>
        <w:spacing w:before="31" w:after="31"/>
        <w:rPr>
          <w:rFonts w:ascii="宋体" w:hAnsi="宋体" w:eastAsia="宋体"/>
        </w:rPr>
      </w:pPr>
      <w:r>
        <w:rPr>
          <w:rFonts w:hint="eastAsia" w:ascii="宋体" w:hAnsi="宋体" w:eastAsia="宋体"/>
        </w:rPr>
        <w:t>八</w:t>
      </w:r>
      <w:r>
        <w:rPr>
          <w:rFonts w:ascii="宋体" w:hAnsi="宋体" w:eastAsia="宋体"/>
        </w:rPr>
        <w:t>、患者隐私保护要求</w:t>
      </w:r>
    </w:p>
    <w:p>
      <w:pPr>
        <w:spacing w:line="360" w:lineRule="auto"/>
        <w:ind w:firstLine="480" w:firstLineChars="200"/>
        <w:rPr>
          <w:rFonts w:ascii="宋体" w:hAnsi="宋体" w:cs="宋体"/>
          <w:bCs/>
          <w:sz w:val="24"/>
        </w:rPr>
      </w:pPr>
      <w:r>
        <w:rPr>
          <w:rFonts w:hint="eastAsia" w:ascii="宋体" w:hAnsi="宋体" w:cs="宋体"/>
          <w:bCs/>
          <w:sz w:val="24"/>
        </w:rPr>
        <w:t>在患者管理过程中，应严格按照确定的工作表单的内容进行随访及采集，严禁夹带任何额外的内容，特别是软广告信息；</w:t>
      </w:r>
    </w:p>
    <w:p>
      <w:pPr>
        <w:spacing w:line="360" w:lineRule="auto"/>
        <w:ind w:firstLine="480" w:firstLineChars="200"/>
        <w:rPr>
          <w:rFonts w:ascii="宋体" w:hAnsi="宋体" w:cs="宋体"/>
          <w:bCs/>
          <w:sz w:val="24"/>
        </w:rPr>
      </w:pPr>
      <w:r>
        <w:rPr>
          <w:rFonts w:hint="eastAsia" w:ascii="宋体" w:hAnsi="宋体" w:cs="宋体"/>
          <w:bCs/>
          <w:sz w:val="24"/>
        </w:rPr>
        <w:t>需有呼叫中心系统，疾病管理团队外拨给患者的联系电话，均须采用采购人统一提供的电话线路和电话号码；</w:t>
      </w:r>
    </w:p>
    <w:p>
      <w:pPr>
        <w:spacing w:line="360" w:lineRule="auto"/>
        <w:ind w:firstLine="480" w:firstLineChars="200"/>
        <w:rPr>
          <w:rFonts w:ascii="宋体" w:hAnsi="宋体" w:cs="宋体"/>
          <w:bCs/>
          <w:sz w:val="24"/>
        </w:rPr>
      </w:pPr>
      <w:r>
        <w:rPr>
          <w:rFonts w:hint="eastAsia" w:ascii="宋体" w:hAnsi="宋体" w:cs="宋体"/>
          <w:bCs/>
          <w:sz w:val="24"/>
        </w:rPr>
        <w:t>所有与患者的沟通电话均须有电话录音（要求保存一年及以上），如果采用微信、app等方式随访的，均应保存原始记录备查；</w:t>
      </w:r>
    </w:p>
    <w:p>
      <w:pPr>
        <w:spacing w:line="360" w:lineRule="auto"/>
        <w:ind w:firstLine="480" w:firstLineChars="200"/>
        <w:rPr>
          <w:rFonts w:ascii="宋体" w:hAnsi="宋体" w:cs="宋体"/>
          <w:bCs/>
          <w:sz w:val="24"/>
        </w:rPr>
      </w:pPr>
      <w:r>
        <w:rPr>
          <w:rFonts w:hint="eastAsia" w:ascii="宋体" w:hAnsi="宋体" w:cs="宋体"/>
          <w:bCs/>
          <w:sz w:val="24"/>
        </w:rPr>
        <w:t>服务供应商应与所有有可能接触到本项目相关工作内容的服务人员签署保密协议并备案一份给采购人留档；</w:t>
      </w:r>
    </w:p>
    <w:p>
      <w:pPr>
        <w:spacing w:line="360" w:lineRule="auto"/>
        <w:ind w:firstLine="480" w:firstLineChars="200"/>
        <w:rPr>
          <w:rFonts w:ascii="宋体" w:hAnsi="宋体" w:cs="宋体"/>
          <w:bCs/>
          <w:sz w:val="24"/>
        </w:rPr>
      </w:pPr>
      <w:r>
        <w:rPr>
          <w:rFonts w:hint="eastAsia" w:ascii="宋体" w:hAnsi="宋体" w:cs="宋体"/>
          <w:bCs/>
          <w:sz w:val="24"/>
        </w:rPr>
        <w:t>服务供应商需提供患者隐私保护的解决方案。</w:t>
      </w:r>
    </w:p>
    <w:p>
      <w:pPr>
        <w:pStyle w:val="9"/>
        <w:spacing w:before="31" w:after="31"/>
        <w:rPr>
          <w:rFonts w:ascii="宋体" w:hAnsi="宋体" w:eastAsia="宋体"/>
        </w:rPr>
      </w:pPr>
      <w:r>
        <w:rPr>
          <w:rFonts w:hint="eastAsia" w:ascii="宋体" w:hAnsi="宋体" w:eastAsia="宋体"/>
        </w:rPr>
        <w:t>九、其他要求</w:t>
      </w:r>
    </w:p>
    <w:p>
      <w:pPr>
        <w:snapToGrid w:val="0"/>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采购人需为本项目提供办公场所，旨在为患者提供一站式、全流程的科学化、规范化、系统化健康管理服务。</w:t>
      </w:r>
    </w:p>
    <w:p>
      <w:pPr>
        <w:snapToGrid w:val="0"/>
        <w:spacing w:line="360" w:lineRule="auto"/>
        <w:ind w:firstLine="480" w:firstLineChars="200"/>
        <w:jc w:val="left"/>
        <w:rPr>
          <w:rFonts w:ascii="宋体" w:hAnsi="宋体"/>
        </w:rPr>
      </w:pPr>
      <w:r>
        <w:rPr>
          <w:rFonts w:ascii="宋体" w:hAnsi="宋体" w:cs="宋体"/>
          <w:kern w:val="0"/>
          <w:sz w:val="24"/>
        </w:rPr>
        <w:t>2.</w:t>
      </w:r>
      <w:r>
        <w:rPr>
          <w:rFonts w:hint="eastAsia" w:ascii="宋体" w:hAnsi="宋体" w:cs="宋体"/>
          <w:kern w:val="0"/>
          <w:sz w:val="24"/>
        </w:rPr>
        <w:t>服务供应商需对本项目所涉及到的所有业务具有完整的理解，并对项目业务可能涉及到的企业资质均须具备。</w:t>
      </w:r>
    </w:p>
    <w:p>
      <w:pPr>
        <w:snapToGrid w:val="0"/>
        <w:spacing w:line="360" w:lineRule="auto"/>
        <w:ind w:firstLine="480" w:firstLineChars="200"/>
        <w:jc w:val="left"/>
        <w:rPr>
          <w:rFonts w:ascii="宋体" w:hAnsi="宋体" w:cs="宋体"/>
          <w:kern w:val="0"/>
          <w:sz w:val="24"/>
        </w:rPr>
      </w:pPr>
      <w:r>
        <w:rPr>
          <w:rFonts w:ascii="宋体" w:hAnsi="宋体" w:cs="宋体"/>
          <w:kern w:val="0"/>
          <w:sz w:val="24"/>
        </w:rPr>
        <w:t>3.服务供应商需配置</w:t>
      </w:r>
      <w:r>
        <w:rPr>
          <w:rFonts w:hint="eastAsia" w:ascii="宋体" w:hAnsi="宋体" w:cs="宋体"/>
          <w:kern w:val="0"/>
          <w:sz w:val="24"/>
        </w:rPr>
        <w:t>本项目正常开展所需的软硬件支撑工具：如疾病精细化管理软件工具、呼叫中心设备、网络交换机、平板电脑等，软硬件设备产权归服务供应商所有。</w:t>
      </w:r>
    </w:p>
    <w:p>
      <w:pPr>
        <w:snapToGrid w:val="0"/>
        <w:spacing w:line="360" w:lineRule="auto"/>
        <w:ind w:firstLine="480" w:firstLineChars="200"/>
        <w:jc w:val="left"/>
        <w:rPr>
          <w:rFonts w:ascii="宋体" w:hAnsi="宋体" w:cs="宋体"/>
          <w:kern w:val="0"/>
          <w:sz w:val="24"/>
        </w:rPr>
      </w:pPr>
      <w:r>
        <w:rPr>
          <w:rFonts w:ascii="宋体" w:hAnsi="宋体" w:cs="宋体"/>
          <w:kern w:val="0"/>
          <w:sz w:val="24"/>
        </w:rPr>
        <w:t xml:space="preserve">4. </w:t>
      </w:r>
      <w:r>
        <w:rPr>
          <w:rFonts w:hint="eastAsia" w:ascii="宋体" w:hAnsi="宋体" w:cs="宋体"/>
          <w:kern w:val="0"/>
          <w:sz w:val="24"/>
        </w:rPr>
        <w:t>服务供应商需具备视频制作及在APP、微信公众号或微信小程序上推送宣教视频的相关资质和能力（根据疾病的特点，通过APP、微信公众号或微信小程序定期向患者精准推送图片、文本、视频等形式的健康宣教知识）。</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.服务供应商须严格按照合同要求为本项目提供同质化的疾病精细化健康管理服务。</w:t>
      </w:r>
    </w:p>
    <w:p>
      <w:pPr>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5.1</w:t>
      </w:r>
      <w:r>
        <w:rPr>
          <w:rFonts w:hint="eastAsia" w:ascii="宋体" w:hAnsi="宋体" w:cs="宋体"/>
          <w:color w:val="000000" w:themeColor="text1"/>
          <w:kern w:val="0"/>
          <w:sz w:val="24"/>
          <w14:textFill>
            <w14:solidFill>
              <w14:schemeClr w14:val="tx1"/>
            </w14:solidFill>
          </w14:textFill>
        </w:rPr>
        <w:t>要求服务供应商配套同质化的软件支撑工具（即疾病精细化管理系统），功能不少于现有使用的系统，须承诺与现有使用的系统无缝对接，为保证服务质量，本项目配置的疾病精细化管理系统还应与HIS/LIS/预约挂号等系统互联互通。（涉及到的第三方软件接口费均须包含在报价中）。</w:t>
      </w:r>
    </w:p>
    <w:p>
      <w:pPr>
        <w:snapToGrid w:val="0"/>
        <w:spacing w:line="360" w:lineRule="auto"/>
        <w:ind w:firstLine="480" w:firstLineChars="200"/>
        <w:jc w:val="left"/>
        <w:rPr>
          <w:rFonts w:ascii="宋体" w:hAnsi="宋体" w:cs="宋体"/>
          <w:kern w:val="0"/>
          <w:sz w:val="24"/>
        </w:rPr>
      </w:pPr>
      <w:r>
        <w:rPr>
          <w:rFonts w:hint="eastAsia" w:ascii="宋体" w:hAnsi="宋体" w:cs="宋体"/>
          <w:color w:val="000000" w:themeColor="text1"/>
          <w:kern w:val="0"/>
          <w:sz w:val="24"/>
          <w14:textFill>
            <w14:solidFill>
              <w14:schemeClr w14:val="tx1"/>
            </w14:solidFill>
          </w14:textFill>
        </w:rPr>
        <w:t>▲5.</w:t>
      </w: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服务供应商提供的软件支撑工具应满足项目开展的需要，并能按照临床要求进行迭代。软件支撑工具功能需承诺不少于以下配置</w:t>
      </w:r>
      <w:r>
        <w:rPr>
          <w:rFonts w:hint="eastAsia" w:ascii="宋体" w:hAnsi="宋体" w:cs="宋体"/>
          <w:kern w:val="0"/>
          <w:sz w:val="24"/>
        </w:rPr>
        <w:t>。</w:t>
      </w:r>
    </w:p>
    <w:tbl>
      <w:tblPr>
        <w:tblStyle w:val="6"/>
        <w:tblW w:w="5000" w:type="pct"/>
        <w:tblInd w:w="0" w:type="dxa"/>
        <w:tblLayout w:type="autofit"/>
        <w:tblCellMar>
          <w:top w:w="0" w:type="dxa"/>
          <w:left w:w="108" w:type="dxa"/>
          <w:bottom w:w="0" w:type="dxa"/>
          <w:right w:w="108" w:type="dxa"/>
        </w:tblCellMar>
      </w:tblPr>
      <w:tblGrid>
        <w:gridCol w:w="1106"/>
        <w:gridCol w:w="1231"/>
        <w:gridCol w:w="1527"/>
        <w:gridCol w:w="5706"/>
      </w:tblGrid>
      <w:tr>
        <w:tblPrEx>
          <w:tblCellMar>
            <w:top w:w="0" w:type="dxa"/>
            <w:left w:w="108" w:type="dxa"/>
            <w:bottom w:w="0" w:type="dxa"/>
            <w:right w:w="108" w:type="dxa"/>
          </w:tblCellMar>
        </w:tblPrEx>
        <w:trPr>
          <w:trHeight w:val="20" w:hRule="atLeast"/>
        </w:trPr>
        <w:tc>
          <w:tcPr>
            <w:tcW w:w="578"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pPr>
              <w:jc w:val="center"/>
              <w:rPr>
                <w:b/>
              </w:rPr>
            </w:pPr>
            <w:r>
              <w:rPr>
                <w:rFonts w:hint="eastAsia"/>
                <w:b/>
              </w:rPr>
              <w:t>使用对象</w:t>
            </w:r>
          </w:p>
        </w:tc>
        <w:tc>
          <w:tcPr>
            <w:tcW w:w="643"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pPr>
              <w:jc w:val="center"/>
              <w:rPr>
                <w:b/>
              </w:rPr>
            </w:pPr>
            <w:r>
              <w:rPr>
                <w:rFonts w:hint="eastAsia"/>
                <w:b/>
              </w:rPr>
              <w:t>功能模块</w:t>
            </w:r>
          </w:p>
        </w:tc>
        <w:tc>
          <w:tcPr>
            <w:tcW w:w="798"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pPr>
              <w:jc w:val="center"/>
              <w:rPr>
                <w:b/>
              </w:rPr>
            </w:pPr>
            <w:r>
              <w:rPr>
                <w:rFonts w:hint="eastAsia"/>
                <w:b/>
              </w:rPr>
              <w:t>功能点</w:t>
            </w:r>
          </w:p>
        </w:tc>
        <w:tc>
          <w:tcPr>
            <w:tcW w:w="2981" w:type="pct"/>
            <w:tcBorders>
              <w:top w:val="single" w:color="auto" w:sz="4" w:space="0"/>
              <w:left w:val="single" w:color="auto" w:sz="4" w:space="0"/>
              <w:bottom w:val="single" w:color="auto" w:sz="4" w:space="0"/>
              <w:right w:val="single" w:color="auto" w:sz="4" w:space="0"/>
            </w:tcBorders>
            <w:shd w:val="clear" w:color="FFFFFF" w:fill="DEE0E3"/>
            <w:tcMar>
              <w:top w:w="0" w:type="dxa"/>
              <w:left w:w="108" w:type="dxa"/>
              <w:bottom w:w="0" w:type="dxa"/>
              <w:right w:w="108" w:type="dxa"/>
            </w:tcMar>
            <w:vAlign w:val="center"/>
          </w:tcPr>
          <w:p>
            <w:pPr>
              <w:jc w:val="center"/>
              <w:rPr>
                <w:b/>
              </w:rPr>
            </w:pPr>
            <w:r>
              <w:rPr>
                <w:rFonts w:hint="eastAsia"/>
                <w:b/>
              </w:rPr>
              <w:t>功能说明</w:t>
            </w:r>
          </w:p>
        </w:tc>
      </w:tr>
      <w:tr>
        <w:tblPrEx>
          <w:tblCellMar>
            <w:top w:w="0" w:type="dxa"/>
            <w:left w:w="108" w:type="dxa"/>
            <w:bottom w:w="0" w:type="dxa"/>
            <w:right w:w="108" w:type="dxa"/>
          </w:tblCellMar>
        </w:tblPrEx>
        <w:trPr>
          <w:trHeight w:val="20" w:hRule="atLeast"/>
        </w:trPr>
        <w:tc>
          <w:tcPr>
            <w:tcW w:w="578" w:type="pct"/>
            <w:vMerge w:val="restar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1.运营支撑端（PC端）</w:t>
            </w:r>
          </w:p>
        </w:tc>
        <w:tc>
          <w:tcPr>
            <w:tcW w:w="643"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工作台</w:t>
            </w:r>
          </w:p>
        </w:tc>
        <w:tc>
          <w:tcPr>
            <w:tcW w:w="798"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待办任务</w:t>
            </w:r>
          </w:p>
        </w:tc>
        <w:tc>
          <w:tcPr>
            <w:tcW w:w="2981" w:type="pct"/>
            <w:tcBorders>
              <w:top w:val="single" w:color="auto"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汇总当前各项任务待办集合，包括了宣讲任务、异常待办</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患者管理</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患者详情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查看所有在管患者院内档案、维护档案基础信息等</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服务管理</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随访详情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查看线上履约过程中随访的关键记录</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工单管理</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宣讲任务</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包含当前医院处于各状态的宣讲工单，供查询、处理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投诉表扬</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线下环节节点的处理，在服务管理过程中发现的投诉表扬事件需要逐级上报处理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异常上报</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线下环节节点的处理，在服务管理过程中发现的异常事件需要逐级上报处理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服务退费</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查看患者退费情况</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互动渠道</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短信记录</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查看所有线上服务的短信记录汇总</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通话记录</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查看所有线上服务的电话记录汇总</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运营数据分析</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数据统计</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医院维度的服务数据驾驶舱</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开单数据汇总</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汇总各类情况的开单明细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复诊情况分析</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医院/科室维度复诊详情</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住院转化分析</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医院维度潜在患者数据分析及科室转化情况</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拓单转化分析</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医院维度的科室服务转化情况数据</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运营质控</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质量分析</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可查看每个线下宣讲任务的完成情况、知情同意书的签署情况等</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图表分析</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报告管理</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汇总管理数据，可用于快速生成汇报ppt</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全院视角</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全院范围内的个案转化情况、管理质量等数据</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科室视角</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科室情况范围内的个案转化情况、服务质量及管理成效分析</w:t>
            </w:r>
          </w:p>
        </w:tc>
      </w:tr>
      <w:tr>
        <w:tblPrEx>
          <w:tblCellMar>
            <w:top w:w="0" w:type="dxa"/>
            <w:left w:w="108" w:type="dxa"/>
            <w:bottom w:w="0" w:type="dxa"/>
            <w:right w:w="108" w:type="dxa"/>
          </w:tblCellMar>
        </w:tblPrEx>
        <w:trPr>
          <w:trHeight w:val="20" w:hRule="atLeast"/>
        </w:trPr>
        <w:tc>
          <w:tcPr>
            <w:tcW w:w="578"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2.运营支撑端（PC端及PAD端）均须具备的功能</w:t>
            </w: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医院患者</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住院患者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可查看当前科室/病区的患者列表及相关的诊疗记录，可进行患者信息备注及标记</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门诊患者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可查看当前科室/病区的患者列表及相关的诊疗记录，可进行患者信息备注及标记</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出院患者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可查看近期的出院的患者列表及相关的诊疗记录</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待处理</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包含了标记为待转化患者，用于作为工作清单</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已处理</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包含了全部已处理的先宣讲后开单流程的患者</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restar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宣讲签约</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未宣讲</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包含了所有待处理宣讲任务，进入详情后按照标准流程进行宣讲并记录信息</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已暂存</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暂时无法提交的宣讲任务，可供后续处理</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已宣讲</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已经完成宣讲的任务，可以查看详情及播放录音</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宣讲知识库</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内置各病种的宣讲知识库，可以快捷查看该病种的院外居家康复注意事项及要点</w:t>
            </w:r>
          </w:p>
        </w:tc>
      </w:tr>
      <w:tr>
        <w:tblPrEx>
          <w:tblCellMar>
            <w:top w:w="0" w:type="dxa"/>
            <w:left w:w="108" w:type="dxa"/>
            <w:bottom w:w="0" w:type="dxa"/>
            <w:right w:w="108" w:type="dxa"/>
          </w:tblCellMar>
        </w:tblPrEx>
        <w:trPr>
          <w:trHeight w:val="20" w:hRule="atLeast"/>
        </w:trPr>
        <w:tc>
          <w:tcPr>
            <w:tcW w:w="578" w:type="pct"/>
            <w:vMerge w:val="continue"/>
            <w:tcBorders>
              <w:top w:val="single" w:color="1F2329" w:sz="4" w:space="0"/>
              <w:left w:val="single" w:color="1F2329" w:sz="4" w:space="0"/>
              <w:bottom w:val="single" w:color="1F2329" w:sz="4" w:space="0"/>
              <w:right w:val="single" w:color="1F2329" w:sz="4" w:space="0"/>
            </w:tcBorders>
            <w:shd w:val="clear" w:color="FFFFFF" w:fill="auto"/>
            <w:vAlign w:val="center"/>
          </w:tcPr>
          <w:p/>
        </w:tc>
        <w:tc>
          <w:tcPr>
            <w:tcW w:w="643"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订单管理</w:t>
            </w:r>
          </w:p>
        </w:tc>
        <w:tc>
          <w:tcPr>
            <w:tcW w:w="798"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订单详情</w:t>
            </w:r>
          </w:p>
        </w:tc>
        <w:tc>
          <w:tcPr>
            <w:tcW w:w="2981" w:type="pct"/>
            <w:tcBorders>
              <w:top w:val="single" w:color="1F2329" w:sz="4" w:space="0"/>
              <w:left w:val="single" w:color="1F2329" w:sz="4" w:space="0"/>
              <w:bottom w:val="single" w:color="1F2329" w:sz="4" w:space="0"/>
              <w:right w:val="single" w:color="1F2329" w:sz="4" w:space="0"/>
            </w:tcBorders>
            <w:shd w:val="clear" w:color="FFFFFF" w:fill="auto"/>
            <w:tcMar>
              <w:top w:w="0" w:type="dxa"/>
              <w:left w:w="108" w:type="dxa"/>
              <w:bottom w:w="0" w:type="dxa"/>
              <w:right w:w="108" w:type="dxa"/>
            </w:tcMar>
            <w:vAlign w:val="center"/>
          </w:tcPr>
          <w:p>
            <w:r>
              <w:rPr>
                <w:rFonts w:hint="eastAsia"/>
              </w:rPr>
              <w:t>供查询各个状态下的订单明细</w:t>
            </w:r>
          </w:p>
        </w:tc>
      </w:tr>
      <w:tr>
        <w:tblPrEx>
          <w:tblCellMar>
            <w:top w:w="0" w:type="dxa"/>
            <w:left w:w="108" w:type="dxa"/>
            <w:bottom w:w="0" w:type="dxa"/>
            <w:right w:w="108" w:type="dxa"/>
          </w:tblCellMar>
        </w:tblPrEx>
        <w:trPr>
          <w:trHeight w:val="20" w:hRule="atLeast"/>
        </w:trPr>
        <w:tc>
          <w:tcPr>
            <w:tcW w:w="578"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3.个案管理师端（PC端）</w:t>
            </w:r>
          </w:p>
        </w:tc>
        <w:tc>
          <w:tcPr>
            <w:tcW w:w="643"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工作台</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工作台</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提供个</w:t>
            </w:r>
            <w:r>
              <w:rPr>
                <w:rFonts w:hint="eastAsia"/>
              </w:rPr>
              <w:t>案</w:t>
            </w:r>
            <w:r>
              <w:t>管</w:t>
            </w:r>
            <w:r>
              <w:rPr>
                <w:rFonts w:hint="eastAsia"/>
              </w:rPr>
              <w:t>理</w:t>
            </w:r>
            <w:r>
              <w:t>师需要处理的待办事项，按任务性质和任务状态提供给个</w:t>
            </w:r>
            <w:r>
              <w:rPr>
                <w:rFonts w:hint="eastAsia"/>
              </w:rPr>
              <w:t>案</w:t>
            </w:r>
            <w:r>
              <w:t>管</w:t>
            </w:r>
            <w:r>
              <w:rPr>
                <w:rFonts w:hint="eastAsia"/>
              </w:rPr>
              <w:t>理</w:t>
            </w:r>
            <w:r>
              <w:t>师处理待办的优先级；</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tc>
        <w:tc>
          <w:tcPr>
            <w:tcW w:w="643"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t>患者管理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患者管理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支持已入组患者的列表查看，提供相应的分组功能，基于管理路径、管理人员、疾病类型等参数的分组；</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tc>
        <w:tc>
          <w:tcPr>
            <w:tcW w:w="643"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患者详情</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包括患者在服务过程中采集的基础信息、专病信息、管理方案以及各类管理记录汇总；</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工单管理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方案制定</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为患者制定合理的管理方案并分配管理人员，该模块包括不同类型任务状态的列表和查询功能；</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服务过程管理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对患者进行定期随访，对管理过程中发现的异常情况及时跟踪处理；并且当患者主动咨询时，个</w:t>
            </w:r>
            <w:r>
              <w:rPr>
                <w:rFonts w:hint="eastAsia"/>
              </w:rPr>
              <w:t>案</w:t>
            </w:r>
            <w:r>
              <w:t>管</w:t>
            </w:r>
            <w:r>
              <w:rPr>
                <w:rFonts w:hint="eastAsia"/>
              </w:rPr>
              <w:t>理</w:t>
            </w:r>
            <w:r>
              <w:t>师会进行相应的解答，服务管理过程包括不同类型任务，提供相应的列表和查询功能；</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生活方式管理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对患者的饮食，运动方面进行管理和日常跟踪，包括点评，回复等互动形式；</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结案管理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服务周期结束进行结案操作，发送相应的结案小结，包括未处理和已处理状态列表和查询功能；</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常用模板库</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短信模板</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支持新增短信模版，模版列表查询，短信模版内容编辑；</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记录模板</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针对管理过程中需要记录的内容提供模板，支持管理人员快速录入管理情况；</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知识库管理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知识库</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提供管理过程中可能需要的专病知识库，饮食库，运动库等内容支撑；</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互动记录</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短信记录</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所有线上服务的短信记录汇总；</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left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通话记录</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所有线上服务的通话记录汇总；</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预约挂号记录</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所有线上服务的预约挂号记录；</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质控管理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质控管理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院方或者内部管理者可以针对服务管理情况并进行评分，对服务质量存在问题的地方可进行整改，另外整改的内容也可以再回顾和分析；</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统计分析</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管理统计</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包括管理过程中的成效分析例如复诊统计，依从性分析，以及各类型的管理分析例如工作量统计等内容；</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系统管理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角色管理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可根据业务情况制定不同的角色，例如医院领导、医生、</w:t>
            </w:r>
            <w:r>
              <w:rPr>
                <w:rFonts w:hint="eastAsia"/>
              </w:rPr>
              <w:t>运营支撑人员</w:t>
            </w:r>
            <w:r>
              <w:t>、个案管理师、服务质量监督员；</w:t>
            </w:r>
          </w:p>
        </w:tc>
      </w:tr>
      <w:tr>
        <w:tblPrEx>
          <w:tblCellMar>
            <w:top w:w="0" w:type="dxa"/>
            <w:left w:w="108" w:type="dxa"/>
            <w:bottom w:w="0" w:type="dxa"/>
            <w:right w:w="108" w:type="dxa"/>
          </w:tblCellMar>
        </w:tblPrEx>
        <w:trPr>
          <w:trHeight w:val="20" w:hRule="atLeast"/>
        </w:trPr>
        <w:tc>
          <w:tcPr>
            <w:tcW w:w="578" w:type="pct"/>
            <w:vMerge w:val="continue"/>
            <w:tcBorders>
              <w:left w:val="single" w:color="auto" w:sz="4" w:space="0"/>
              <w:right w:val="single" w:color="auto" w:sz="4" w:space="0"/>
            </w:tcBorders>
            <w:shd w:val="clear" w:color="FFFFFF" w:fill="auto"/>
            <w:vAlign w:val="center"/>
          </w:tcPr>
          <w:p/>
        </w:tc>
        <w:tc>
          <w:tcPr>
            <w:tcW w:w="643"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用户管理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t>统一用户认证、单点登录、权限控制、数字证书签名；</w:t>
            </w:r>
          </w:p>
        </w:tc>
      </w:tr>
      <w:tr>
        <w:tblPrEx>
          <w:tblCellMar>
            <w:top w:w="0" w:type="dxa"/>
            <w:left w:w="108" w:type="dxa"/>
            <w:bottom w:w="0" w:type="dxa"/>
            <w:right w:w="108" w:type="dxa"/>
          </w:tblCellMar>
        </w:tblPrEx>
        <w:trPr>
          <w:trHeight w:val="20" w:hRule="atLeast"/>
        </w:trPr>
        <w:tc>
          <w:tcPr>
            <w:tcW w:w="578"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4.院内医护端</w:t>
            </w:r>
          </w:p>
        </w:tc>
        <w:tc>
          <w:tcPr>
            <w:tcW w:w="643"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工作台</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跟踪待办</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所关联的任务管理的待办</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患者管理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患者管理</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包含所属医院的所有患者分组和详情页面</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服务管理记录</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所有个案管理师产生的管理记录汇总，便于医生查询抽查使用</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服务统计</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质控点评</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对患者进行抽样后质检服务管理情况汇总</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服务评价统计</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对患者服务质量抽检的结果统计</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工单管理</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投诉表扬</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在服务管理过程中发现的投诉表扬事件需要逐级上报处理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异常上报</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在服务管理过程中发现的异常事件需要逐级上报处理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服务质量检查</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服务抽样评价</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对患者进行抽样后质检服务管理情况</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left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服务评价统计</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对患者服务质量抽检的结果统计</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服务整改</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服务质量监管人员抽查服务质量产生的相关任务，包括各类任务状态汇总、督办等</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restar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统计</w:t>
            </w: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开单数据汇总</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所有的开单数据汇总</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拓单转化分析</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不同科室的转化率分析</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643" w:type="pct"/>
            <w:vMerge w:val="continue"/>
            <w:tcBorders>
              <w:top w:val="single" w:color="auto" w:sz="4" w:space="0"/>
              <w:left w:val="single" w:color="auto" w:sz="4" w:space="0"/>
              <w:bottom w:val="single" w:color="auto" w:sz="4" w:space="0"/>
              <w:right w:val="single" w:color="auto" w:sz="4" w:space="0"/>
            </w:tcBorders>
            <w:shd w:val="clear" w:color="FFFFFF" w:fill="auto"/>
            <w:vAlign w:val="center"/>
          </w:tcPr>
          <w:p/>
        </w:tc>
        <w:tc>
          <w:tcPr>
            <w:tcW w:w="798"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复诊情况分析</w:t>
            </w:r>
          </w:p>
        </w:tc>
        <w:tc>
          <w:tcPr>
            <w:tcW w:w="2981" w:type="pct"/>
            <w:tcBorders>
              <w:top w:val="single" w:color="auto" w:sz="4" w:space="0"/>
              <w:left w:val="single" w:color="auto" w:sz="4" w:space="0"/>
              <w:bottom w:val="single" w:color="auto" w:sz="4" w:space="0"/>
              <w:right w:val="single" w:color="auto" w:sz="4" w:space="0"/>
            </w:tcBorders>
            <w:shd w:val="clear" w:color="FFFFFF" w:fill="auto"/>
            <w:tcMar>
              <w:top w:w="0" w:type="dxa"/>
              <w:left w:w="108" w:type="dxa"/>
              <w:bottom w:w="0" w:type="dxa"/>
              <w:right w:w="108" w:type="dxa"/>
            </w:tcMar>
            <w:vAlign w:val="center"/>
          </w:tcPr>
          <w:p>
            <w:r>
              <w:rPr>
                <w:rFonts w:hint="eastAsia"/>
              </w:rPr>
              <w:t>可以查询复诊情况，包括复诊采集率，复诊及时率等</w:t>
            </w:r>
          </w:p>
        </w:tc>
      </w:tr>
      <w:tr>
        <w:tblPrEx>
          <w:tblCellMar>
            <w:top w:w="0" w:type="dxa"/>
            <w:left w:w="108" w:type="dxa"/>
            <w:bottom w:w="0" w:type="dxa"/>
            <w:right w:w="108" w:type="dxa"/>
          </w:tblCellMar>
        </w:tblPrEx>
        <w:trPr>
          <w:trHeight w:val="20" w:hRule="atLeast"/>
        </w:trPr>
        <w:tc>
          <w:tcPr>
            <w:tcW w:w="578" w:type="pct"/>
            <w:vMerge w:val="restar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5.患者端</w:t>
            </w:r>
          </w:p>
          <w:p>
            <w:r>
              <w:rPr>
                <w:rFonts w:hint="eastAsia"/>
              </w:rPr>
              <w:t>（微信小程序端）</w:t>
            </w:r>
          </w:p>
        </w:tc>
        <w:tc>
          <w:tcPr>
            <w:tcW w:w="643" w:type="pct"/>
            <w:vMerge w:val="restar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首页</w:t>
            </w:r>
          </w:p>
        </w:tc>
        <w:tc>
          <w:tcPr>
            <w:tcW w:w="798" w:type="pc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绑定就诊人</w:t>
            </w:r>
          </w:p>
        </w:tc>
        <w:tc>
          <w:tcPr>
            <w:tcW w:w="2981" w:type="pct"/>
            <w:tcBorders>
              <w:top w:val="single" w:color="auto"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支持绑定不同的就诊人，查看相应的管理内容</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健康宣教</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根据服务路径，患者可在小程序内收到与疾病相关的宣教内容，后续可以持续跟进</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随访表单</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针对疾病类型，在对应的时间周期内会向患者下发表单，患者可根据自己的实际情况进行答题，并反馈到个案管理师后台</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监测工具</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个案管理师可制定对应的监测方案给到患者，患者按需对健康指标进行记录，后台可看到相应的内容，并对异常进行处理</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健康专题</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根据不同病种配置相应的专题内容，患者可按需查看</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复诊提醒</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给患者设定的复诊时间在患者离院后，自动进行复诊提醒</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健康课程</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针对疾病类型提供对应健康课程，患者可根据对应需求进行课程查看</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历史数据</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按时间轴查看整体管理过程中的历史数据</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健康锦囊</w:t>
            </w: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健康锦囊</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根据疾病类型配置对应的健康锦囊库</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个人中心</w:t>
            </w: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基本档案</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患者可维护自己的基本信息档案，健康教练在管理过程中可进行查看</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个性化方案</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根据患者提交的信息生成对应的饮食、运动、监测等方案，用户可实时查看</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我的收藏</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历史宣教内容患者可按需收藏，实时查看</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健康反馈</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患者可通过文字、图片的形式向健管师提交反馈</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就诊人管理</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患者可手动添加对应的亲属信息，查看相应的管理记录</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我的服务</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患者可查看曾经接收过的服务内容</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专项评估</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根据不同的病种和患者信息发送个性化的评估方案，并制定相应的管理方案</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阶段性报告</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管理过程中生成的周报、月报，及管理结束后生成结案小结</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用药提醒</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患者可自主设置相关的用药提醒，在对应的时间时，通过微信公众号模板消息发送给患者提醒用药</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电话咨询</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患者可以直接电话给个案管理师，进行相应的咨询</w:t>
            </w:r>
          </w:p>
        </w:tc>
      </w:tr>
      <w:tr>
        <w:tblPrEx>
          <w:tblCellMar>
            <w:top w:w="0" w:type="dxa"/>
            <w:left w:w="108" w:type="dxa"/>
            <w:bottom w:w="0" w:type="dxa"/>
            <w:right w:w="108" w:type="dxa"/>
          </w:tblCellMar>
        </w:tblPrEx>
        <w:trPr>
          <w:trHeight w:val="20" w:hRule="atLeast"/>
        </w:trPr>
        <w:tc>
          <w:tcPr>
            <w:tcW w:w="578" w:type="pct"/>
            <w:vMerge w:val="continue"/>
            <w:tcBorders>
              <w:top w:val="single" w:color="auto" w:sz="4" w:space="0"/>
              <w:left w:val="single" w:color="000000" w:sz="4" w:space="0"/>
              <w:bottom w:val="single" w:color="000000" w:sz="4" w:space="0"/>
              <w:right w:val="single" w:color="000000" w:sz="4" w:space="0"/>
            </w:tcBorders>
            <w:shd w:val="clear" w:color="FFFFFF" w:fill="auto"/>
            <w:vAlign w:val="center"/>
          </w:tcPr>
          <w:p/>
        </w:tc>
        <w:tc>
          <w:tcPr>
            <w:tcW w:w="64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tc>
        <w:tc>
          <w:tcPr>
            <w:tcW w:w="798"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在线图文咨询</w:t>
            </w:r>
          </w:p>
        </w:tc>
        <w:tc>
          <w:tcPr>
            <w:tcW w:w="2981" w:type="pc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r>
              <w:rPr>
                <w:rFonts w:hint="eastAsia"/>
              </w:rPr>
              <w:t>支持通过图片+文字的形式在线咨询问题</w:t>
            </w:r>
          </w:p>
        </w:tc>
      </w:tr>
    </w:tbl>
    <w:p>
      <w:pPr>
        <w:pStyle w:val="9"/>
        <w:spacing w:before="31" w:after="31"/>
        <w:rPr>
          <w:rFonts w:ascii="宋体" w:hAnsi="宋体" w:eastAsia="宋体"/>
        </w:rPr>
      </w:pPr>
      <w:r>
        <w:rPr>
          <w:rFonts w:hint="eastAsia" w:ascii="宋体" w:hAnsi="宋体" w:eastAsia="宋体"/>
        </w:rPr>
        <w:t>十、报价要求</w:t>
      </w:r>
    </w:p>
    <w:p>
      <w:pPr>
        <w:spacing w:line="360" w:lineRule="auto"/>
        <w:ind w:firstLine="480" w:firstLineChars="200"/>
        <w:jc w:val="left"/>
        <w:rPr>
          <w:rFonts w:ascii="宋体" w:hAnsi="宋体"/>
          <w:kern w:val="0"/>
          <w:sz w:val="24"/>
        </w:rPr>
      </w:pPr>
      <w:r>
        <w:rPr>
          <w:rFonts w:ascii="宋体" w:hAnsi="宋体"/>
          <w:kern w:val="0"/>
          <w:sz w:val="24"/>
        </w:rPr>
        <w:t>1.</w:t>
      </w:r>
      <w:r>
        <w:rPr>
          <w:rFonts w:hint="eastAsia" w:ascii="宋体" w:hAnsi="宋体"/>
          <w:kern w:val="0"/>
          <w:sz w:val="24"/>
        </w:rPr>
        <w:t>单项报价包含各服务套餐有关的所有费用，包含但不限于人员的工资、社保、奖金、福利、服务工具安装调试费、人工差旅费、培训费、税费等；</w:t>
      </w:r>
    </w:p>
    <w:p>
      <w:pPr>
        <w:spacing w:line="360" w:lineRule="auto"/>
        <w:ind w:firstLine="480" w:firstLineChars="200"/>
        <w:jc w:val="left"/>
        <w:rPr>
          <w:rFonts w:ascii="宋体" w:hAnsi="宋体"/>
          <w:kern w:val="0"/>
          <w:sz w:val="24"/>
        </w:rPr>
      </w:pPr>
      <w:r>
        <w:rPr>
          <w:rFonts w:hint="eastAsia" w:ascii="宋体" w:hAnsi="宋体"/>
          <w:kern w:val="0"/>
          <w:sz w:val="24"/>
        </w:rPr>
        <w:t>2.各服务套餐包的单项报价不得超过以下单项最高限价，否则作无效投标处理。</w:t>
      </w:r>
    </w:p>
    <w:p>
      <w:pPr>
        <w:spacing w:line="360" w:lineRule="auto"/>
        <w:ind w:firstLine="480" w:firstLineChars="200"/>
        <w:jc w:val="left"/>
        <w:rPr>
          <w:rFonts w:ascii="宋体" w:hAnsi="宋体"/>
          <w:kern w:val="0"/>
          <w:sz w:val="24"/>
        </w:rPr>
      </w:pPr>
      <w:r>
        <w:rPr>
          <w:rFonts w:hint="eastAsia" w:ascii="宋体" w:hAnsi="宋体"/>
          <w:kern w:val="0"/>
          <w:sz w:val="24"/>
        </w:rPr>
        <w:t>3.合同服务期内，最终结算总金额不超预算金额的按实际金额支付，最终结算金额超过预算金额的，超过部分双方另行协商。</w:t>
      </w:r>
    </w:p>
    <w:p>
      <w:pPr>
        <w:spacing w:line="360" w:lineRule="auto"/>
        <w:ind w:firstLine="480" w:firstLineChars="200"/>
        <w:jc w:val="left"/>
        <w:rPr>
          <w:rFonts w:ascii="宋体" w:hAnsi="宋体"/>
          <w:kern w:val="0"/>
          <w:sz w:val="24"/>
        </w:rPr>
      </w:pPr>
      <w:r>
        <w:rPr>
          <w:rFonts w:hint="eastAsia" w:ascii="宋体" w:hAnsi="宋体"/>
          <w:kern w:val="0"/>
          <w:sz w:val="24"/>
        </w:rPr>
        <w:t>结算总金额=∑（各项套餐包实际数量*各项单项报价）</w:t>
      </w:r>
    </w:p>
    <w:p>
      <w:pPr>
        <w:spacing w:line="360" w:lineRule="auto"/>
        <w:ind w:firstLine="480" w:firstLineChars="200"/>
        <w:jc w:val="left"/>
        <w:rPr>
          <w:rFonts w:ascii="宋体" w:hAnsi="宋体"/>
          <w:kern w:val="0"/>
          <w:sz w:val="24"/>
        </w:rPr>
      </w:pPr>
      <w:r>
        <w:rPr>
          <w:rFonts w:ascii="宋体" w:hAnsi="宋体"/>
          <w:kern w:val="0"/>
          <w:sz w:val="24"/>
        </w:rPr>
        <w:t>4</w:t>
      </w:r>
      <w:r>
        <w:rPr>
          <w:rFonts w:hint="eastAsia" w:ascii="宋体" w:hAnsi="宋体"/>
          <w:kern w:val="0"/>
          <w:sz w:val="24"/>
        </w:rPr>
        <w:t>.本项目统一填报综合单价，综合单价</w:t>
      </w:r>
      <w:r>
        <w:rPr>
          <w:rFonts w:ascii="宋体" w:hAnsi="宋体"/>
          <w:kern w:val="0"/>
          <w:sz w:val="24"/>
        </w:rPr>
        <w:t>=∑（各项单项报价*各单价权重）。</w:t>
      </w:r>
      <w:r>
        <w:rPr>
          <w:rFonts w:hint="eastAsia" w:ascii="宋体" w:hAnsi="宋体"/>
          <w:kern w:val="0"/>
          <w:sz w:val="24"/>
        </w:rPr>
        <w:t>各套餐包单价最高限价及单价权重见下表。最终结果四舍五入保留小数点后两位。</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461"/>
        <w:gridCol w:w="1452"/>
        <w:gridCol w:w="2467"/>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808" w:type="pct"/>
            <w:noWrap/>
            <w:vAlign w:val="center"/>
          </w:tcPr>
          <w:p>
            <w:pPr>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套餐包名称</w:t>
            </w:r>
          </w:p>
        </w:tc>
        <w:tc>
          <w:tcPr>
            <w:tcW w:w="759" w:type="pct"/>
            <w:noWrap/>
            <w:vAlign w:val="center"/>
          </w:tcPr>
          <w:p>
            <w:pPr>
              <w:jc w:val="center"/>
              <w:rPr>
                <w:rFonts w:ascii="宋体" w:hAnsi="宋体" w:cs="宋体"/>
                <w:b/>
                <w:bCs/>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单位</w:t>
            </w:r>
            <w:r>
              <w:rPr>
                <w:rFonts w:hint="eastAsia" w:ascii="宋体" w:hAnsi="宋体" w:cs="宋体"/>
                <w:b/>
                <w:bCs/>
                <w:color w:val="000000" w:themeColor="text1"/>
                <w:kern w:val="0"/>
                <w:szCs w:val="21"/>
                <w14:textFill>
                  <w14:solidFill>
                    <w14:schemeClr w14:val="tx1"/>
                  </w14:solidFill>
                </w14:textFill>
              </w:rPr>
              <w:t>(疗程）</w:t>
            </w:r>
          </w:p>
        </w:tc>
        <w:tc>
          <w:tcPr>
            <w:tcW w:w="1289" w:type="pct"/>
            <w:noWrap/>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单价最高限价</w:t>
            </w:r>
          </w:p>
          <w:p>
            <w:pPr>
              <w:jc w:val="center"/>
              <w:rPr>
                <w:rFonts w:ascii="宋体" w:hAnsi="宋体" w:cs="宋体"/>
                <w:b/>
                <w:bCs/>
                <w:color w:val="000000" w:themeColor="text1"/>
                <w:kern w:val="0"/>
                <w:szCs w:val="21"/>
                <w14:textFill>
                  <w14:solidFill>
                    <w14:schemeClr w14:val="tx1"/>
                  </w14:solidFill>
                </w14:textFill>
              </w:rPr>
            </w:pP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元/疗程</w:t>
            </w:r>
            <w:r>
              <w:rPr>
                <w:rFonts w:ascii="宋体" w:hAnsi="宋体"/>
                <w:b/>
                <w:color w:val="000000" w:themeColor="text1"/>
                <w:szCs w:val="21"/>
                <w14:textFill>
                  <w14:solidFill>
                    <w14:schemeClr w14:val="tx1"/>
                  </w14:solidFill>
                </w14:textFill>
              </w:rPr>
              <w:t>）</w:t>
            </w:r>
          </w:p>
        </w:tc>
        <w:tc>
          <w:tcPr>
            <w:tcW w:w="830" w:type="pct"/>
            <w:vAlign w:val="center"/>
          </w:tcPr>
          <w:p>
            <w:pPr>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808" w:type="pct"/>
            <w:noWrap/>
            <w:vAlign w:val="center"/>
          </w:tcPr>
          <w:p>
            <w:pPr>
              <w:rPr>
                <w:rFonts w:ascii="宋体" w:hAnsi="宋体"/>
                <w:szCs w:val="21"/>
              </w:rPr>
            </w:pPr>
            <w:r>
              <w:rPr>
                <w:rFonts w:hint="eastAsia" w:ascii="宋体" w:hAnsi="宋体"/>
                <w:color w:val="000000"/>
                <w:szCs w:val="21"/>
              </w:rPr>
              <w:t>专病</w:t>
            </w:r>
            <w:r>
              <w:rPr>
                <w:rFonts w:hint="eastAsia" w:ascii="宋体" w:hAnsi="宋体"/>
                <w:color w:val="000000"/>
                <w:szCs w:val="21"/>
                <w:lang w:val="en-US" w:eastAsia="zh-Hans"/>
              </w:rPr>
              <w:t>短期</w:t>
            </w:r>
            <w:r>
              <w:rPr>
                <w:rFonts w:hint="eastAsia" w:ascii="宋体" w:hAnsi="宋体"/>
                <w:color w:val="000000"/>
                <w:szCs w:val="21"/>
              </w:rPr>
              <w:t>精细化强管理</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widowControl/>
              <w:spacing w:line="360" w:lineRule="exact"/>
              <w:jc w:val="center"/>
              <w:rPr>
                <w:rFonts w:ascii="宋体" w:hAnsi="宋体" w:cs="仿宋_GB2312"/>
                <w:szCs w:val="21"/>
              </w:rPr>
            </w:pPr>
            <w:r>
              <w:rPr>
                <w:rFonts w:hint="eastAsia" w:ascii="宋体" w:hAnsi="宋体"/>
                <w:color w:val="000000"/>
                <w:szCs w:val="21"/>
              </w:rPr>
              <w:t>99</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808" w:type="pct"/>
            <w:noWrap/>
            <w:vAlign w:val="center"/>
          </w:tcPr>
          <w:p>
            <w:pPr>
              <w:rPr>
                <w:rFonts w:ascii="宋体" w:hAnsi="宋体"/>
                <w:szCs w:val="21"/>
              </w:rPr>
            </w:pPr>
            <w:r>
              <w:rPr>
                <w:rFonts w:hint="eastAsia" w:ascii="宋体" w:hAnsi="宋体"/>
                <w:color w:val="000000"/>
                <w:szCs w:val="21"/>
              </w:rPr>
              <w:t>专病精细化标准管理</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widowControl/>
              <w:spacing w:line="360" w:lineRule="exact"/>
              <w:jc w:val="center"/>
              <w:rPr>
                <w:rFonts w:ascii="宋体" w:hAnsi="宋体" w:cs="仿宋_GB2312"/>
                <w:szCs w:val="21"/>
              </w:rPr>
            </w:pPr>
            <w:r>
              <w:rPr>
                <w:rFonts w:hint="eastAsia" w:ascii="宋体" w:hAnsi="宋体"/>
                <w:color w:val="000000"/>
                <w:szCs w:val="21"/>
              </w:rPr>
              <w:t>295</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808" w:type="pct"/>
            <w:noWrap/>
            <w:vAlign w:val="center"/>
          </w:tcPr>
          <w:p>
            <w:pPr>
              <w:rPr>
                <w:rFonts w:ascii="宋体" w:hAnsi="宋体"/>
                <w:szCs w:val="21"/>
              </w:rPr>
            </w:pPr>
            <w:r>
              <w:rPr>
                <w:rFonts w:hint="eastAsia" w:ascii="宋体" w:hAnsi="宋体"/>
                <w:color w:val="000000"/>
                <w:szCs w:val="21"/>
              </w:rPr>
              <w:t>专病精细化强化管理</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widowControl/>
              <w:spacing w:line="360" w:lineRule="exact"/>
              <w:jc w:val="center"/>
              <w:rPr>
                <w:rFonts w:ascii="宋体" w:hAnsi="宋体" w:cs="仿宋_GB2312"/>
                <w:szCs w:val="21"/>
              </w:rPr>
            </w:pPr>
            <w:r>
              <w:rPr>
                <w:rFonts w:hint="eastAsia" w:ascii="宋体" w:hAnsi="宋体"/>
                <w:color w:val="000000"/>
                <w:szCs w:val="21"/>
              </w:rPr>
              <w:t>399</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808" w:type="pct"/>
            <w:noWrap/>
            <w:vAlign w:val="center"/>
          </w:tcPr>
          <w:p>
            <w:pPr>
              <w:rPr>
                <w:rFonts w:ascii="宋体" w:hAnsi="宋体"/>
                <w:szCs w:val="21"/>
              </w:rPr>
            </w:pPr>
            <w:r>
              <w:rPr>
                <w:rFonts w:hint="eastAsia" w:ascii="宋体" w:hAnsi="宋体"/>
                <w:color w:val="000000"/>
                <w:szCs w:val="21"/>
              </w:rPr>
              <w:t>专病精细化全程管理</w:t>
            </w:r>
          </w:p>
        </w:tc>
        <w:tc>
          <w:tcPr>
            <w:tcW w:w="759" w:type="pct"/>
            <w:noWrap/>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289" w:type="pct"/>
            <w:noWrap/>
            <w:vAlign w:val="center"/>
          </w:tcPr>
          <w:p>
            <w:pPr>
              <w:widowControl/>
              <w:spacing w:line="360" w:lineRule="exact"/>
              <w:jc w:val="center"/>
              <w:rPr>
                <w:rFonts w:ascii="宋体" w:hAnsi="宋体" w:cs="仿宋_GB2312"/>
                <w:szCs w:val="21"/>
              </w:rPr>
            </w:pPr>
            <w:r>
              <w:rPr>
                <w:rFonts w:hint="eastAsia" w:ascii="宋体" w:hAnsi="宋体"/>
                <w:color w:val="000000"/>
                <w:szCs w:val="21"/>
              </w:rPr>
              <w:t>598</w:t>
            </w:r>
          </w:p>
        </w:tc>
        <w:tc>
          <w:tcPr>
            <w:tcW w:w="830" w:type="pct"/>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808" w:type="pct"/>
            <w:noWrap/>
            <w:vAlign w:val="center"/>
          </w:tcPr>
          <w:p>
            <w:pPr>
              <w:rPr>
                <w:rFonts w:ascii="宋体" w:hAnsi="宋体"/>
                <w:szCs w:val="21"/>
              </w:rPr>
            </w:pPr>
            <w:r>
              <w:rPr>
                <w:rFonts w:hint="eastAsia" w:ascii="宋体" w:hAnsi="宋体"/>
                <w:color w:val="000000"/>
                <w:szCs w:val="21"/>
              </w:rPr>
              <w:t>专病强干预管理</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jc w:val="center"/>
              <w:rPr>
                <w:rFonts w:ascii="宋体" w:hAnsi="宋体" w:cs="宋体"/>
                <w:kern w:val="0"/>
                <w:szCs w:val="21"/>
                <w:lang w:bidi="ar"/>
              </w:rPr>
            </w:pPr>
            <w:r>
              <w:rPr>
                <w:rFonts w:hint="eastAsia" w:ascii="宋体" w:hAnsi="宋体"/>
                <w:color w:val="000000"/>
                <w:szCs w:val="21"/>
              </w:rPr>
              <w:t>795</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808" w:type="pct"/>
            <w:noWrap/>
            <w:vAlign w:val="center"/>
          </w:tcPr>
          <w:p>
            <w:pPr>
              <w:rPr>
                <w:rFonts w:ascii="宋体" w:hAnsi="宋体"/>
                <w:szCs w:val="21"/>
              </w:rPr>
            </w:pPr>
            <w:r>
              <w:rPr>
                <w:rFonts w:hint="eastAsia" w:ascii="宋体" w:hAnsi="宋体"/>
                <w:color w:val="000000"/>
                <w:szCs w:val="21"/>
              </w:rPr>
              <w:t>专病强干预综合管理</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widowControl/>
              <w:spacing w:line="360" w:lineRule="exact"/>
              <w:jc w:val="center"/>
              <w:rPr>
                <w:rFonts w:ascii="宋体" w:hAnsi="宋体" w:cs="仿宋_GB2312"/>
                <w:szCs w:val="21"/>
              </w:rPr>
            </w:pPr>
            <w:r>
              <w:rPr>
                <w:rFonts w:hint="eastAsia" w:ascii="宋体" w:hAnsi="宋体"/>
                <w:color w:val="000000"/>
                <w:szCs w:val="21"/>
              </w:rPr>
              <w:t>1590</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314" w:type="pct"/>
            <w:noWrap/>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1808" w:type="pct"/>
            <w:noWrap/>
            <w:vAlign w:val="center"/>
          </w:tcPr>
          <w:p>
            <w:pPr>
              <w:rPr>
                <w:rFonts w:ascii="宋体" w:hAnsi="宋体"/>
                <w:szCs w:val="21"/>
              </w:rPr>
            </w:pPr>
            <w:r>
              <w:rPr>
                <w:rFonts w:hint="eastAsia" w:ascii="宋体" w:hAnsi="宋体"/>
                <w:color w:val="000000"/>
                <w:szCs w:val="21"/>
              </w:rPr>
              <w:t>专病治疗性生活方式干预管理服务</w:t>
            </w:r>
          </w:p>
        </w:tc>
        <w:tc>
          <w:tcPr>
            <w:tcW w:w="759" w:type="pct"/>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89" w:type="pct"/>
            <w:noWrap/>
            <w:vAlign w:val="center"/>
          </w:tcPr>
          <w:p>
            <w:pPr>
              <w:jc w:val="center"/>
              <w:rPr>
                <w:rFonts w:ascii="宋体" w:hAnsi="宋体" w:cs="宋体"/>
                <w:szCs w:val="21"/>
              </w:rPr>
            </w:pPr>
            <w:r>
              <w:rPr>
                <w:rFonts w:hint="eastAsia" w:ascii="宋体" w:hAnsi="宋体"/>
                <w:color w:val="000000"/>
                <w:szCs w:val="21"/>
              </w:rPr>
              <w:t>2616</w:t>
            </w:r>
          </w:p>
        </w:tc>
        <w:tc>
          <w:tcPr>
            <w:tcW w:w="830" w:type="pct"/>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w:t>
            </w:r>
          </w:p>
        </w:tc>
      </w:tr>
    </w:tbl>
    <w:p>
      <w:pPr>
        <w:widowControl/>
        <w:jc w:val="left"/>
        <w:rPr>
          <w:rFonts w:ascii="宋体" w:hAnsi="宋体"/>
          <w:b/>
          <w:color w:val="000000"/>
          <w:sz w:val="32"/>
        </w:rPr>
      </w:pPr>
      <w:r>
        <w:rPr>
          <w:rFonts w:hint="eastAsia" w:ascii="宋体" w:hAnsi="宋体"/>
          <w:b/>
          <w:color w:val="000000"/>
          <w:sz w:val="32"/>
        </w:rPr>
        <w:t>第三部分、付款方式与履约保证金</w:t>
      </w:r>
    </w:p>
    <w:p>
      <w:pPr>
        <w:tabs>
          <w:tab w:val="left" w:pos="312"/>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1.付款方式：</w:t>
      </w:r>
    </w:p>
    <w:p>
      <w:pPr>
        <w:pStyle w:val="11"/>
        <w:numPr>
          <w:ilvl w:val="0"/>
          <w:numId w:val="1"/>
        </w:numPr>
        <w:ind w:firstLine="480"/>
        <w:rPr>
          <w:rFonts w:ascii="宋体" w:hAnsi="宋体" w:cs="宋体"/>
          <w:color w:val="000000"/>
        </w:rPr>
      </w:pPr>
      <w:r>
        <w:rPr>
          <w:rFonts w:hint="eastAsia" w:ascii="宋体" w:hAnsi="宋体" w:cs="宋体"/>
          <w:color w:val="000000"/>
        </w:rPr>
        <w:t>按月结算：每月结算金额以实际开单量进行按月结算。采购人根据上月份实际新增的服务套餐包数量进行结算，采购人自收到正规发票之日起30日内完成付款。</w:t>
      </w:r>
    </w:p>
    <w:p>
      <w:pPr>
        <w:pStyle w:val="11"/>
        <w:numPr>
          <w:ilvl w:val="0"/>
          <w:numId w:val="1"/>
        </w:numPr>
        <w:ind w:firstLine="480"/>
        <w:rPr>
          <w:rFonts w:ascii="宋体" w:hAnsi="宋体" w:cs="宋体"/>
          <w:color w:val="000000"/>
        </w:rPr>
      </w:pPr>
      <w:r>
        <w:rPr>
          <w:rFonts w:hint="eastAsia" w:ascii="宋体" w:hAnsi="宋体" w:cs="宋体"/>
          <w:color w:val="000000"/>
        </w:rPr>
        <w:t>每月结算金额</w:t>
      </w:r>
      <w:r>
        <w:rPr>
          <w:rFonts w:ascii="宋体" w:hAnsi="宋体" w:cs="宋体"/>
          <w:color w:val="000000"/>
        </w:rPr>
        <w:t>=</w:t>
      </w:r>
      <w:r>
        <w:rPr>
          <w:rFonts w:hint="eastAsia" w:ascii="宋体" w:hAnsi="宋体" w:cs="宋体"/>
          <w:color w:val="000000"/>
        </w:rPr>
        <w:t>∑</w:t>
      </w:r>
      <w:r>
        <w:rPr>
          <w:rFonts w:ascii="宋体" w:hAnsi="宋体" w:cs="宋体"/>
          <w:color w:val="000000"/>
        </w:rPr>
        <w:t>（</w:t>
      </w:r>
      <w:r>
        <w:rPr>
          <w:rFonts w:hint="eastAsia" w:ascii="宋体" w:hAnsi="宋体" w:cs="宋体"/>
          <w:color w:val="000000"/>
        </w:rPr>
        <w:t>各项套餐包每月新增</w:t>
      </w:r>
      <w:r>
        <w:rPr>
          <w:rFonts w:ascii="宋体" w:hAnsi="宋体" w:cs="宋体"/>
          <w:color w:val="000000"/>
        </w:rPr>
        <w:t>数量</w:t>
      </w:r>
      <w:r>
        <w:rPr>
          <w:rFonts w:hint="eastAsia" w:ascii="宋体" w:hAnsi="宋体" w:cs="宋体"/>
          <w:color w:val="000000"/>
        </w:rPr>
        <w:t>*</w:t>
      </w:r>
      <w:r>
        <w:rPr>
          <w:rFonts w:ascii="宋体" w:hAnsi="宋体" w:cs="宋体"/>
          <w:color w:val="000000"/>
        </w:rPr>
        <w:t>各</w:t>
      </w:r>
      <w:r>
        <w:rPr>
          <w:rFonts w:hint="eastAsia" w:ascii="宋体" w:hAnsi="宋体" w:cs="宋体"/>
          <w:color w:val="000000"/>
        </w:rPr>
        <w:t>项套餐包单项报价）</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2.履约保证金:</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本项目不收取履约保证金。</w:t>
      </w:r>
      <w:bookmarkEnd w:id="0"/>
    </w:p>
    <w:p>
      <w:pPr>
        <w:pStyle w:val="2"/>
      </w:pPr>
    </w:p>
    <w:p>
      <w:pPr>
        <w:pStyle w:val="3"/>
      </w:pPr>
    </w:p>
    <w:p/>
    <w:sectPr>
      <w:headerReference r:id="rId3" w:type="default"/>
      <w:footerReference r:id="rId4" w:type="default"/>
      <w:footerReference r:id="rId5" w:type="even"/>
      <w:pgSz w:w="11906" w:h="16838"/>
      <w:pgMar w:top="1440" w:right="1134" w:bottom="1440"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第</w:t>
    </w:r>
    <w:r>
      <w:fldChar w:fldCharType="begin"/>
    </w:r>
    <w:r>
      <w:instrText xml:space="preserve"> PAGE  \* Arabic  \* MERGEFORMAT </w:instrText>
    </w:r>
    <w:r>
      <w:fldChar w:fldCharType="separate"/>
    </w:r>
    <w:r>
      <w:t>13</w:t>
    </w:r>
    <w:r>
      <w:fldChar w:fldCharType="end"/>
    </w:r>
    <w:r>
      <w:t>页</w:t>
    </w:r>
    <w:r>
      <w:rPr>
        <w:rFonts w:hint="eastAsia"/>
      </w:rPr>
      <w:t xml:space="preserve"> 共</w:t>
    </w:r>
    <w:r>
      <w:fldChar w:fldCharType="begin"/>
    </w:r>
    <w:r>
      <w:instrText xml:space="preserve">NUMPAGES  \* Arabic  \* MERGEFORMAT</w:instrText>
    </w:r>
    <w:r>
      <w:fldChar w:fldCharType="separate"/>
    </w:r>
    <w:r>
      <w:t>16</w:t>
    </w:r>
    <w:r>
      <w:fldChar w:fldCharType="end"/>
    </w:r>
    <w:r>
      <w:rPr>
        <w:rFonts w:hint="eastAsia"/>
      </w:rPr>
      <w:t>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jc w:val="both"/>
    </w:pPr>
    <w:r>
      <w:rPr>
        <w:rFonts w:hint="eastAsia"/>
        <w:lang w:val="zh-CN"/>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76A01"/>
    <w:multiLevelType w:val="multilevel"/>
    <w:tmpl w:val="74676A01"/>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7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zM2NzhkOTIyMDExNzYwNzQ2MmZhMjk5Mjk1OTcifQ=="/>
  </w:docVars>
  <w:rsids>
    <w:rsidRoot w:val="1A0D7E11"/>
    <w:rsid w:val="0B50377C"/>
    <w:rsid w:val="0FDC5ECC"/>
    <w:rsid w:val="12064AFA"/>
    <w:rsid w:val="1A0D7E11"/>
    <w:rsid w:val="3FAD0529"/>
    <w:rsid w:val="73E7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firstLineChars="200"/>
    </w:pPr>
    <w:rPr>
      <w:rFonts w:eastAsia="仿宋_GB2312"/>
      <w:sz w:val="30"/>
      <w:szCs w:val="30"/>
    </w:rPr>
  </w:style>
  <w:style w:type="paragraph" w:styleId="3">
    <w:name w:val="envelope return"/>
    <w:basedOn w:val="1"/>
    <w:qFormat/>
    <w:uiPriority w:val="0"/>
    <w:pPr>
      <w:snapToGrid w:val="0"/>
    </w:pPr>
    <w:rPr>
      <w:rFonts w:ascii="Arial" w:hAnsi="Arial"/>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2级标题"/>
    <w:basedOn w:val="1"/>
    <w:qFormat/>
    <w:uiPriority w:val="0"/>
    <w:pPr>
      <w:spacing w:beforeLines="10" w:afterLines="10" w:line="360" w:lineRule="auto"/>
      <w:jc w:val="left"/>
      <w:outlineLvl w:val="1"/>
    </w:pPr>
    <w:rPr>
      <w:rFonts w:ascii="Times New Roman" w:hAnsi="Times New Roman" w:eastAsia="仿宋"/>
      <w:b/>
      <w:sz w:val="30"/>
      <w:szCs w:val="22"/>
    </w:rPr>
  </w:style>
  <w:style w:type="paragraph" w:customStyle="1" w:styleId="10">
    <w:name w:val="3级"/>
    <w:basedOn w:val="1"/>
    <w:next w:val="1"/>
    <w:qFormat/>
    <w:uiPriority w:val="0"/>
    <w:pPr>
      <w:keepNext/>
      <w:widowControl/>
      <w:spacing w:before="240" w:after="240" w:line="360" w:lineRule="auto"/>
      <w:ind w:right="466" w:rightChars="194" w:firstLine="288"/>
      <w:jc w:val="left"/>
      <w:outlineLvl w:val="2"/>
    </w:pPr>
    <w:rPr>
      <w:rFonts w:ascii="宋体" w:hAnsi="宋体"/>
      <w:b/>
      <w:bCs/>
      <w:kern w:val="0"/>
      <w:sz w:val="28"/>
      <w:szCs w:val="20"/>
    </w:rPr>
  </w:style>
  <w:style w:type="paragraph" w:styleId="11">
    <w:name w:val="List Paragraph"/>
    <w:basedOn w:val="1"/>
    <w:qFormat/>
    <w:uiPriority w:val="34"/>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2024-07-18T01:06:00Z</dcterms:created>
  <dc:creator>Administrator</dc:creator>
  <cp:lastModifiedBy>顾丽莎</cp:lastModifiedBy>
  <cp:lastPrinted>2024-07-29T04:54:00Z</cp:lastPrinted>
  <dcterms:modified xsi:type="dcterms:W3CDTF">2024-07-29T08:28:20Z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242D72F67FDC4DAEB9FD516767F335EB_11</vt:lpwstr>
  </property>
</Properties>
</file>