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DC20C">
      <w:pPr>
        <w:pStyle w:val="15"/>
      </w:pPr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rFonts w:hint="eastAsia" w:ascii="仿宋" w:hAnsi="仿宋" w:eastAsia="仿宋" w:cs="仿宋"/>
        </w:rPr>
        <w:t>临安·乐生活体重管理训练营需求</w:t>
      </w:r>
      <mc:AlternateContent>
        <mc:Choice Requires="wpsCustomData">
          <wpsCustomData:docfieldEnd id="0"/>
        </mc:Choice>
      </mc:AlternateContent>
    </w:p>
    <w:p w14:paraId="4D40A7D6">
      <w:pPr>
        <w:pStyle w:val="11"/>
        <w:bidi w:val="0"/>
        <w:spacing w:beforeAutospacing="0" w:afterAutospacing="0" w:line="300" w:lineRule="exact"/>
        <w:rPr>
          <w:rFonts w:hint="eastAsia"/>
          <w:lang w:eastAsia="zh-CN"/>
        </w:rPr>
      </w:pPr>
    </w:p>
    <w:p w14:paraId="0A51F4D8">
      <w:pPr>
        <w:pStyle w:val="2"/>
        <w:widowControl/>
        <w:numPr>
          <w:ilvl w:val="0"/>
          <w:numId w:val="0"/>
        </w:numPr>
        <w:ind w:left="0" w:leftChars="0" w:firstLine="640"/>
        <w:rPr>
          <w:rFonts w:hint="eastAsia" w:ascii="仿宋" w:hAnsi="仿宋" w:eastAsia="仿宋" w:cs="仿宋"/>
          <w:b w:val="0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一、</w:t>
      </w:r>
      <w:r>
        <w:rPr>
          <w:rFonts w:hint="eastAsia" w:ascii="仿宋" w:hAnsi="仿宋" w:eastAsia="仿宋" w:cs="仿宋"/>
          <w:kern w:val="44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</w:rPr>
        <w:t>项目</w:t>
      </w:r>
      <w:r>
        <w:rPr>
          <w:rFonts w:hint="eastAsia" w:ascii="仿宋" w:hAnsi="仿宋" w:eastAsia="仿宋" w:cs="仿宋"/>
          <w:lang w:val="en-US" w:eastAsia="zh-CN"/>
        </w:rPr>
        <w:t>背景</w:t>
      </w:r>
    </w:p>
    <w:p w14:paraId="3E62BB1D">
      <w:pPr>
        <w:pStyle w:val="11"/>
        <w:widowControl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与专业的第三方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合作，通过“线下沉浸干预 ＋ 线上长效跟踪”的闭环模式，打造“临安·乐生活”体重管理训练营。项目旨在响应《“健康中国2030”规划纲要》及浙江省“体重管理年”活动方案，依托医院专业医疗优势，解决传统减重“难坚持、易反弹”的痛点。</w:t>
      </w:r>
    </w:p>
    <w:p w14:paraId="6A1040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eastAsia" w:ascii="仿宋" w:hAnsi="仿宋" w:eastAsia="仿宋" w:cs="仿宋"/>
          <w:spacing w:val="0"/>
        </w:rPr>
      </w:pPr>
    </w:p>
    <w:p w14:paraId="62EAF95C">
      <w:pPr>
        <w:pStyle w:val="2"/>
        <w:widowControl/>
        <w:numPr>
          <w:ilvl w:val="0"/>
          <w:numId w:val="0"/>
        </w:numPr>
        <w:ind w:left="0" w:leftChars="0" w:firstLine="64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  <w:lang w:eastAsia="zh-CN"/>
        </w:rPr>
        <w:t>二、</w:t>
      </w:r>
      <w:r>
        <w:rPr>
          <w:rFonts w:hint="eastAsia" w:ascii="仿宋" w:hAnsi="仿宋" w:eastAsia="仿宋" w:cs="仿宋"/>
          <w:kern w:val="44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</w:rPr>
        <w:t>需求</w:t>
      </w:r>
    </w:p>
    <w:p w14:paraId="6843F4FC">
      <w:pPr>
        <w:pStyle w:val="3"/>
        <w:widowControl/>
        <w:numPr>
          <w:ilvl w:val="0"/>
          <w:numId w:val="0"/>
        </w:numPr>
        <w:ind w:left="0" w:leftChars="0" w:firstLine="640"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</w:rPr>
        <w:t>提供以下内容（包括但不限于）</w:t>
      </w:r>
    </w:p>
    <w:p w14:paraId="21991921">
      <w:pPr>
        <w:pStyle w:val="11"/>
        <w:widowControl/>
        <w:pBdr>
          <w:left w:val="none" w:color="auto" w:sz="0" w:space="0"/>
        </w:pBdr>
        <w:rPr>
          <w:rFonts w:hint="eastAsia" w:ascii="仿宋" w:hAnsi="仿宋" w:eastAsia="仿宋" w:cs="仿宋"/>
          <w:sz w:val="32"/>
          <w:szCs w:val="32"/>
        </w:rPr>
      </w:pPr>
      <w:r>
        <w:rPr>
          <w:rStyle w:val="18"/>
          <w:rFonts w:hint="eastAsia" w:ascii="仿宋" w:hAnsi="仿宋" w:eastAsia="仿宋" w:cs="仿宋"/>
        </w:rPr>
        <w:t>.运营团队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负责训练营的整体课程设计、师资配备（健康管理师、营养师、运动教练）及招生宣传。</w:t>
      </w:r>
    </w:p>
    <w:p w14:paraId="6572A080">
      <w:pPr>
        <w:pStyle w:val="11"/>
        <w:widowControl/>
        <w:pBdr>
          <w:left w:val="none" w:color="auto" w:sz="0" w:space="0"/>
        </w:pBdr>
        <w:rPr>
          <w:rStyle w:val="18"/>
          <w:rFonts w:hint="eastAsia" w:ascii="仿宋" w:hAnsi="仿宋" w:eastAsia="仿宋" w:cs="仿宋"/>
          <w:color w:val="0000FF"/>
        </w:rPr>
      </w:pPr>
      <w:r>
        <w:rPr>
          <w:rStyle w:val="18"/>
          <w:rFonts w:hint="eastAsia" w:ascii="仿宋" w:hAnsi="仿宋" w:eastAsia="仿宋" w:cs="仿宋"/>
          <w:color w:val="0000FF"/>
          <w:lang w:val="en-US" w:eastAsia="zh-CN"/>
        </w:rPr>
        <w:t>运营经验：有举办类似活动不少于5场、服务客户不少于100人的经验。</w:t>
      </w:r>
      <w:bookmarkStart w:id="0" w:name="_GoBack"/>
      <w:bookmarkEnd w:id="0"/>
    </w:p>
    <w:p w14:paraId="61CD6D98">
      <w:pPr>
        <w:pStyle w:val="11"/>
        <w:widowControl/>
        <w:pBdr>
          <w:left w:val="none" w:color="auto" w:sz="0" w:space="0"/>
        </w:pBdr>
        <w:rPr>
          <w:rFonts w:hint="eastAsia" w:ascii="仿宋" w:hAnsi="仿宋" w:eastAsia="仿宋" w:cs="仿宋"/>
          <w:sz w:val="32"/>
          <w:szCs w:val="32"/>
        </w:rPr>
      </w:pPr>
      <w:r>
        <w:rPr>
          <w:rStyle w:val="18"/>
          <w:rFonts w:hint="eastAsia" w:ascii="仿宋" w:hAnsi="仿宋" w:eastAsia="仿宋" w:cs="仿宋"/>
        </w:rPr>
        <w:t>.专家医学指导费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支付给临安区第一人民医院专家医学指导费用，标准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不低于</w:t>
      </w:r>
      <w:r>
        <w:rPr>
          <w:rFonts w:hint="eastAsia" w:ascii="仿宋" w:hAnsi="仿宋" w:eastAsia="仿宋" w:cs="仿宋"/>
          <w:sz w:val="32"/>
          <w:szCs w:val="32"/>
        </w:rPr>
        <w:t>500元／次（不包含在场地租金内）。</w:t>
      </w:r>
    </w:p>
    <w:p w14:paraId="7BA94159">
      <w:pPr>
        <w:pStyle w:val="11"/>
        <w:widowControl/>
        <w:pBdr>
          <w:left w:val="none" w:color="auto" w:sz="0" w:space="0"/>
        </w:pBdr>
        <w:rPr>
          <w:rFonts w:hint="eastAsia" w:ascii="仿宋" w:hAnsi="仿宋" w:eastAsia="仿宋" w:cs="仿宋"/>
          <w:sz w:val="32"/>
          <w:szCs w:val="32"/>
        </w:rPr>
      </w:pPr>
      <w:r>
        <w:rPr>
          <w:rStyle w:val="18"/>
          <w:rFonts w:hint="eastAsia" w:ascii="仿宋" w:hAnsi="仿宋" w:eastAsia="仿宋" w:cs="仿宋"/>
        </w:rPr>
        <w:t>.医疗保障费用</w:t>
      </w:r>
      <w:r>
        <w:rPr>
          <w:rFonts w:hint="eastAsia" w:ascii="仿宋" w:hAnsi="仿宋" w:eastAsia="仿宋" w:cs="仿宋"/>
          <w:sz w:val="32"/>
          <w:szCs w:val="32"/>
        </w:rPr>
        <w:t>：付给临安区第一人民医院约单次训练营营收的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不少于</w:t>
      </w:r>
      <w:r>
        <w:rPr>
          <w:rFonts w:hint="eastAsia" w:ascii="仿宋" w:hAnsi="仿宋" w:eastAsia="仿宋" w:cs="仿宋"/>
          <w:sz w:val="32"/>
          <w:szCs w:val="32"/>
        </w:rPr>
        <w:t>12％作为医疗保障费用</w:t>
      </w:r>
    </w:p>
    <w:p w14:paraId="021F19B5">
      <w:pPr>
        <w:pStyle w:val="11"/>
        <w:widowControl/>
        <w:pBdr>
          <w:left w:val="none" w:color="auto" w:sz="0" w:space="0"/>
        </w:pBdr>
        <w:rPr>
          <w:rFonts w:hint="eastAsia" w:ascii="仿宋" w:hAnsi="仿宋" w:eastAsia="仿宋" w:cs="仿宋"/>
          <w:sz w:val="32"/>
          <w:szCs w:val="32"/>
        </w:rPr>
      </w:pPr>
      <w:r>
        <w:rPr>
          <w:rStyle w:val="18"/>
          <w:rFonts w:hint="eastAsia" w:ascii="仿宋" w:hAnsi="仿宋" w:eastAsia="仿宋" w:cs="仿宋"/>
        </w:rPr>
        <w:t>.健康餐食费用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向医院食堂支付营员的健康餐食费用，按患者家属就餐流程结算（不包含在场地租金内）。</w:t>
      </w:r>
    </w:p>
    <w:p w14:paraId="6A470B49">
      <w:pPr>
        <w:pStyle w:val="11"/>
        <w:widowControl/>
        <w:pBdr>
          <w:left w:val="none" w:color="auto" w:sz="0" w:space="0"/>
        </w:pBdr>
        <w:rPr>
          <w:rFonts w:hint="eastAsia" w:ascii="仿宋" w:hAnsi="仿宋" w:eastAsia="仿宋" w:cs="仿宋"/>
          <w:sz w:val="32"/>
          <w:szCs w:val="32"/>
        </w:rPr>
      </w:pPr>
      <w:r>
        <w:rPr>
          <w:rStyle w:val="18"/>
          <w:rFonts w:hint="eastAsia" w:ascii="仿宋" w:hAnsi="仿宋" w:eastAsia="仿宋" w:cs="仿宋"/>
        </w:rPr>
        <w:t>.中药药食同源药包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以自费外配方式向医院购买中药茶包，免费提供给营员使用（不包含在场地租金内）。</w:t>
      </w:r>
    </w:p>
    <w:p w14:paraId="3DF43CE2">
      <w:pPr>
        <w:pStyle w:val="11"/>
        <w:widowControl/>
        <w:pBdr>
          <w:left w:val="none" w:color="auto" w:sz="0" w:space="0"/>
        </w:pBdr>
        <w:rPr>
          <w:rFonts w:hint="eastAsia" w:ascii="仿宋" w:hAnsi="仿宋" w:eastAsia="仿宋" w:cs="仿宋"/>
          <w:sz w:val="32"/>
          <w:szCs w:val="32"/>
        </w:rPr>
      </w:pPr>
      <w:r>
        <w:rPr>
          <w:rStyle w:val="18"/>
          <w:rFonts w:hint="eastAsia" w:ascii="仿宋" w:hAnsi="仿宋" w:eastAsia="仿宋" w:cs="仿宋"/>
        </w:rPr>
        <w:t>.场地租赁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向医院支付场地租金，包括住宿费（双人标准间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不低于</w:t>
      </w:r>
      <w:r>
        <w:rPr>
          <w:rFonts w:hint="eastAsia" w:ascii="仿宋" w:hAnsi="仿宋" w:eastAsia="仿宋" w:cs="仿宋"/>
          <w:sz w:val="32"/>
          <w:szCs w:val="32"/>
        </w:rPr>
        <w:t>140元／间／天、单人大床房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不低于</w:t>
      </w:r>
      <w:r>
        <w:rPr>
          <w:rFonts w:hint="eastAsia" w:ascii="仿宋" w:hAnsi="仿宋" w:eastAsia="仿宋" w:cs="仿宋"/>
          <w:sz w:val="32"/>
          <w:szCs w:val="32"/>
        </w:rPr>
        <w:t>190元／间／天、豪华套间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不低于</w:t>
      </w:r>
      <w:r>
        <w:rPr>
          <w:rFonts w:hint="eastAsia" w:ascii="仿宋" w:hAnsi="仿宋" w:eastAsia="仿宋" w:cs="仿宋"/>
          <w:sz w:val="32"/>
          <w:szCs w:val="32"/>
        </w:rPr>
        <w:t>240元／间／天）及健身房使用费（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不低于</w:t>
      </w:r>
      <w:r>
        <w:rPr>
          <w:rFonts w:hint="eastAsia" w:ascii="仿宋" w:hAnsi="仿宋" w:eastAsia="仿宋" w:cs="仿宋"/>
          <w:sz w:val="32"/>
          <w:szCs w:val="32"/>
        </w:rPr>
        <w:t>100元／小时按需）。</w:t>
      </w:r>
    </w:p>
    <w:p w14:paraId="00160373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F479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190CD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36190CD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5BB67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10F80F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110F80F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E892F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13F74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255C2"/>
    <w:rsid w:val="20812CBD"/>
    <w:rsid w:val="243C1881"/>
    <w:rsid w:val="25695674"/>
    <w:rsid w:val="2B495DFC"/>
    <w:rsid w:val="429255C2"/>
    <w:rsid w:val="543D36A4"/>
    <w:rsid w:val="5A012F5D"/>
    <w:rsid w:val="5B347DF2"/>
    <w:rsid w:val="629F3D60"/>
    <w:rsid w:val="70C611A2"/>
    <w:rsid w:val="7F79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1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8">
    <w:name w:val="标题 3 Char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526</Characters>
  <Lines>0</Lines>
  <Paragraphs>0</Paragraphs>
  <TotalTime>0</TotalTime>
  <ScaleCrop>false</ScaleCrop>
  <LinksUpToDate>false</LinksUpToDate>
  <CharactersWithSpaces>531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2026-06-14T12:52:00Z</dcterms:created>
  <dc:creator>陈雷</dc:creator>
  <cp:lastModifiedBy>无为而治</cp:lastModifiedBy>
  <dcterms:modified xsi:type="dcterms:W3CDTF">2026-06-17T08:23:29Z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5457D7D3F10A4E6F859C82B7F693D98D_13</vt:lpwstr>
  </property>
  <property fmtid="{D5CDD505-2E9C-101B-9397-08002B2CF9AE}" pid="4" name="KSOTemplateDocerSaveRecord">
    <vt:lpwstr>eyJoZGlkIjoiOWY3NDhhNzExMmI0YTE4MGE3NTFkNWU3YzQ3ZWU2MTIiLCJ1c2VySWQiOiIyNjkxODc2MzUifQ==</vt:lpwstr>
  </property>
</Properties>
</file>