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一、要求：</w:t>
      </w:r>
      <w:r>
        <w:rPr>
          <w:rFonts w:hint="eastAsia"/>
          <w:sz w:val="18"/>
          <w:szCs w:val="18"/>
        </w:rPr>
        <w:t>售后服务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1、保证卫生间异味控制系统的运行正常。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2、定期检查及保养，确保设备的完好及整洁。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3、</w:t>
      </w:r>
      <w:r>
        <w:rPr>
          <w:rFonts w:hint="eastAsia"/>
          <w:sz w:val="18"/>
          <w:szCs w:val="18"/>
        </w:rPr>
        <w:t>每月定时添加除臭药液，更换芳香罐，确保使用效果与持续性。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4、</w:t>
      </w:r>
      <w:r>
        <w:rPr>
          <w:rFonts w:hint="eastAsia"/>
          <w:sz w:val="18"/>
          <w:szCs w:val="18"/>
        </w:rPr>
        <w:t>如因产品质量所产生的问题，由乙方负责及时解决或更换。</w:t>
      </w:r>
    </w:p>
    <w:p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  <w:lang w:val="en-US" w:eastAsia="zh-CN"/>
        </w:rPr>
        <w:t>5、</w:t>
      </w:r>
      <w:r>
        <w:rPr>
          <w:rFonts w:hint="eastAsia"/>
          <w:sz w:val="18"/>
          <w:szCs w:val="18"/>
        </w:rPr>
        <w:t>根据甲方的需求和实际情况，及时给予咨询和上门服务。</w:t>
      </w:r>
      <w:bookmarkStart w:id="0" w:name="_GoBack"/>
      <w:bookmarkEnd w:id="0"/>
    </w:p>
    <w:p>
      <w:pPr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二、配置目录</w:t>
      </w:r>
    </w:p>
    <w:tbl>
      <w:tblPr>
        <w:tblW w:w="706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55"/>
        <w:gridCol w:w="1080"/>
        <w:gridCol w:w="945"/>
        <w:gridCol w:w="1035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区域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楼层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滴注除臭剂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加香机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急诊放射科边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负一层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急诊示教室边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急诊抢救区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临输液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内镜室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门诊A区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门诊B区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妇保C区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行政楼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五层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报告厅前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报告厅后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3号楼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重症监护室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四层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5号楼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负二层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食堂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61163E"/>
    <w:rsid w:val="4AE7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2026-08-18T00:39:11Z</dcterms:created>
  <dc:creator>Administrator</dc:creator>
  <cp:lastModifiedBy>Administrator</cp:lastModifiedBy>
  <dcterms:modified xsi:type="dcterms:W3CDTF">2026-08-18T00:42:58Z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9121654F14B84430AEDB88E7F38D859D</vt:lpwstr>
  </property>
</Properties>
</file>