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20"/>
        <w:rPr>
          <w:rFonts w:hint="eastAsia" w:ascii="仿宋" w:hAnsi="仿宋" w:eastAsia="仿宋"/>
          <w:sz w:val="22"/>
          <w:szCs w:val="21"/>
          <w:shd w:val="clear" w:color="auto" w:fill="FFFFFF"/>
        </w:rPr>
      </w:pPr>
    </w:p>
    <w:p>
      <w:pPr>
        <w:adjustRightInd w:val="0"/>
        <w:spacing w:line="360" w:lineRule="auto"/>
        <w:rPr>
          <w:rFonts w:ascii="宋体" w:hAnsi="宋体"/>
          <w:b/>
          <w:sz w:val="24"/>
        </w:rPr>
      </w:pPr>
      <w:bookmarkStart w:id="0" w:name="_Toc106043226"/>
      <w:r>
        <w:rPr>
          <w:rFonts w:hint="eastAsia" w:ascii="宋体" w:hAnsi="宋体"/>
          <w:b/>
          <w:sz w:val="24"/>
          <w:lang w:val="en-US" w:eastAsia="zh-CN"/>
        </w:rPr>
        <w:t>一</w:t>
      </w:r>
      <w:r>
        <w:rPr>
          <w:rFonts w:hint="eastAsia" w:ascii="宋体" w:hAnsi="宋体"/>
          <w:b/>
          <w:sz w:val="24"/>
        </w:rPr>
        <w:t>、</w:t>
      </w:r>
      <w:r>
        <w:rPr>
          <w:rFonts w:hint="eastAsia"/>
          <w:b/>
          <w:sz w:val="24"/>
        </w:rPr>
        <w:t>项目要求</w:t>
      </w:r>
    </w:p>
    <w:bookmarkEnd w:id="0"/>
    <w:p>
      <w:pPr>
        <w:spacing w:line="360" w:lineRule="auto"/>
        <w:rPr>
          <w:b/>
          <w:sz w:val="24"/>
        </w:rPr>
      </w:pPr>
      <w:r>
        <w:rPr>
          <w:rFonts w:hint="eastAsia"/>
          <w:b/>
          <w:sz w:val="24"/>
        </w:rPr>
        <w:t>（一）技术要求</w:t>
      </w:r>
    </w:p>
    <w:p>
      <w:pPr>
        <w:pStyle w:val="25"/>
        <w:numPr>
          <w:ilvl w:val="0"/>
          <w:numId w:val="2"/>
        </w:numPr>
        <w:spacing w:before="32" w:after="32" w:line="360" w:lineRule="auto"/>
      </w:pPr>
      <w:r>
        <w:rPr>
          <w:rFonts w:hint="eastAsia" w:ascii="宋体" w:hAnsi="宋体"/>
        </w:rPr>
        <w:t>根据医院要求完成出院纸质数字化病案工作。</w:t>
      </w:r>
    </w:p>
    <w:p>
      <w:pPr>
        <w:pStyle w:val="25"/>
        <w:numPr>
          <w:ilvl w:val="0"/>
          <w:numId w:val="2"/>
        </w:numPr>
        <w:spacing w:before="32" w:after="32" w:line="360" w:lineRule="auto"/>
      </w:pPr>
      <w:r>
        <w:rPr>
          <w:rFonts w:hint="eastAsia"/>
        </w:rPr>
        <w:t>兼容性：数字化病案图像浏览等软件兼容好，能方便医院后期的信息整合和调用等。</w:t>
      </w:r>
      <w:r>
        <w:rPr>
          <w:rFonts w:hint="eastAsia" w:ascii="宋体" w:hAnsi="宋体"/>
        </w:rPr>
        <w:t>必需充分了解我院现有病案数字化项目现状，整合为统一应用，统一成一个界面调用所有数字化相关数据，并提供厂商承诺函，如查实未能达到院方要求的承诺被视为虚假应标，院方将追究其责任，并终止合作。</w:t>
      </w:r>
    </w:p>
    <w:p>
      <w:pPr>
        <w:pStyle w:val="25"/>
        <w:numPr>
          <w:ilvl w:val="0"/>
          <w:numId w:val="2"/>
        </w:numPr>
        <w:spacing w:before="32" w:after="32" w:line="360" w:lineRule="auto"/>
      </w:pPr>
      <w:r>
        <w:rPr>
          <w:rFonts w:hint="eastAsia"/>
        </w:rPr>
        <w:t>对原始纸质病案应用数码技术分页数字化加工制作，形成数码图像。</w:t>
      </w:r>
    </w:p>
    <w:p>
      <w:pPr>
        <w:pStyle w:val="25"/>
        <w:numPr>
          <w:ilvl w:val="0"/>
          <w:numId w:val="2"/>
        </w:numPr>
        <w:spacing w:before="32" w:after="32" w:line="360" w:lineRule="auto"/>
      </w:pPr>
      <w:r>
        <w:rPr>
          <w:rFonts w:hint="eastAsia"/>
        </w:rPr>
        <w:t>图像高清，数字化病案的图像尺寸为2048×1536（310万像素）及以上，必须同时提供彩色图像和黑白图像二份图片。</w:t>
      </w:r>
    </w:p>
    <w:p>
      <w:pPr>
        <w:pStyle w:val="25"/>
        <w:numPr>
          <w:ilvl w:val="0"/>
          <w:numId w:val="2"/>
        </w:numPr>
        <w:spacing w:before="32" w:after="32" w:line="360" w:lineRule="auto"/>
      </w:pPr>
      <w:r>
        <w:rPr>
          <w:rFonts w:hint="eastAsia"/>
        </w:rPr>
        <w:t>系统能够支持详细信息，可录入病案号，姓名，性别，年龄，出院日期，入院日期以及出院科室信息。</w:t>
      </w:r>
    </w:p>
    <w:p>
      <w:pPr>
        <w:pStyle w:val="25"/>
        <w:numPr>
          <w:ilvl w:val="0"/>
          <w:numId w:val="2"/>
        </w:numPr>
        <w:spacing w:before="32" w:after="32" w:line="360" w:lineRule="auto"/>
        <w:rPr>
          <w:color w:val="FF0000"/>
        </w:rPr>
      </w:pPr>
      <w:r>
        <w:rPr>
          <w:rFonts w:hint="eastAsia"/>
        </w:rPr>
        <w:t>原始纸质病案可以使用</w:t>
      </w:r>
      <w:r>
        <w:rPr>
          <w:rFonts w:hint="default"/>
          <w:color w:val="FF0000"/>
          <w:woUserID w:val="1"/>
        </w:rPr>
        <w:t>二维码</w:t>
      </w:r>
      <w:r>
        <w:rPr>
          <w:rFonts w:hint="eastAsia"/>
        </w:rPr>
        <w:t>技术装箱保存，定位管理，便于对原始纸质病案的快速查找。</w:t>
      </w:r>
      <w:r>
        <w:rPr>
          <w:rFonts w:hint="default"/>
          <w:color w:val="FF0000"/>
          <w:woUserID w:val="1"/>
        </w:rPr>
        <w:t>使用二维码技术装箱时，出院日期、病案号、患者姓名等信息需正确。</w:t>
      </w:r>
    </w:p>
    <w:p>
      <w:pPr>
        <w:pStyle w:val="25"/>
        <w:numPr>
          <w:ilvl w:val="0"/>
          <w:numId w:val="2"/>
        </w:numPr>
        <w:spacing w:before="32" w:after="32" w:line="360" w:lineRule="auto"/>
      </w:pPr>
      <w:r>
        <w:rPr>
          <w:rFonts w:hint="eastAsia"/>
        </w:rPr>
        <w:t>数字化病案系统是医院信息化建设的一部，需要整合到电子病历系统以及医院信息化平台中，以实现医院各系统的互联互通，有三甲医院电子病历业绩（需提供合同证明）供应商优先考虑。</w:t>
      </w:r>
    </w:p>
    <w:p>
      <w:pPr>
        <w:pStyle w:val="25"/>
        <w:numPr>
          <w:ilvl w:val="0"/>
          <w:numId w:val="2"/>
        </w:numPr>
        <w:spacing w:before="32" w:after="32" w:line="360" w:lineRule="auto"/>
        <w:rPr>
          <w:color w:val="FF0000"/>
        </w:rPr>
      </w:pPr>
      <w:r>
        <w:rPr>
          <w:color w:val="FF0000"/>
          <w:woUserID w:val="1"/>
        </w:rPr>
        <w:t>确保每份病案均能传输至翻拍端，且需保证其准确性、完整性。检查报告及检验报告传输的及时性、完整性、准确性。</w:t>
      </w:r>
    </w:p>
    <w:p>
      <w:pPr>
        <w:pStyle w:val="25"/>
        <w:numPr>
          <w:ilvl w:val="0"/>
          <w:numId w:val="2"/>
        </w:numPr>
        <w:spacing w:before="32" w:after="32" w:line="360" w:lineRule="auto"/>
        <w:rPr>
          <w:color w:val="FF0000"/>
        </w:rPr>
      </w:pPr>
      <w:r>
        <w:rPr>
          <w:color w:val="FF0000"/>
          <w:woUserID w:val="1"/>
        </w:rPr>
        <w:t>打印工作站稳定提供服务，避免图片无法载入的情况。</w:t>
      </w:r>
      <w:bookmarkStart w:id="1" w:name="_GoBack"/>
      <w:bookmarkEnd w:id="1"/>
    </w:p>
    <w:p>
      <w:pPr>
        <w:spacing w:line="360" w:lineRule="auto"/>
        <w:rPr>
          <w:b/>
          <w:sz w:val="24"/>
        </w:rPr>
      </w:pPr>
      <w:r>
        <w:rPr>
          <w:rFonts w:hint="eastAsia"/>
          <w:b/>
          <w:sz w:val="24"/>
        </w:rPr>
        <w:t>（二）软件功能</w:t>
      </w:r>
    </w:p>
    <w:p>
      <w:pPr>
        <w:pStyle w:val="25"/>
        <w:numPr>
          <w:ilvl w:val="0"/>
          <w:numId w:val="3"/>
        </w:numPr>
        <w:spacing w:before="32" w:after="32" w:line="360" w:lineRule="auto"/>
      </w:pPr>
      <w:r>
        <w:rPr>
          <w:rFonts w:hint="eastAsia"/>
        </w:rPr>
        <w:t>系统符合国家、卫生部等各种标准和规范，符合医院实际需求。</w:t>
      </w:r>
    </w:p>
    <w:p>
      <w:pPr>
        <w:pStyle w:val="25"/>
        <w:numPr>
          <w:ilvl w:val="0"/>
          <w:numId w:val="3"/>
        </w:numPr>
        <w:spacing w:before="32" w:after="32" w:line="360" w:lineRule="auto"/>
      </w:pPr>
      <w:r>
        <w:rPr>
          <w:rFonts w:hint="eastAsia"/>
        </w:rPr>
        <w:t>系统采用开放性设计，能根据医院实际需求进行应用系统的功能重组。</w:t>
      </w:r>
    </w:p>
    <w:p>
      <w:pPr>
        <w:pStyle w:val="25"/>
        <w:numPr>
          <w:ilvl w:val="0"/>
          <w:numId w:val="3"/>
        </w:numPr>
        <w:spacing w:before="32" w:after="32" w:line="360" w:lineRule="auto"/>
      </w:pPr>
      <w:r>
        <w:rPr>
          <w:rFonts w:hint="eastAsia"/>
        </w:rPr>
        <w:t>系统病案检索有单一和组合模式，按使用者需求检索所需病案。</w:t>
      </w:r>
    </w:p>
    <w:p>
      <w:pPr>
        <w:pStyle w:val="25"/>
        <w:numPr>
          <w:ilvl w:val="0"/>
          <w:numId w:val="3"/>
        </w:numPr>
        <w:spacing w:before="32" w:after="32" w:line="360" w:lineRule="auto"/>
      </w:pPr>
      <w:r>
        <w:rPr>
          <w:rFonts w:hint="eastAsia"/>
        </w:rPr>
        <w:t>阅读显示病案图像具有水印，能防范数码相机偷拍。屏蔽非法拷贝病案，具有彩色和黑白阅读打印功能。</w:t>
      </w:r>
    </w:p>
    <w:p>
      <w:pPr>
        <w:pStyle w:val="25"/>
        <w:numPr>
          <w:ilvl w:val="0"/>
          <w:numId w:val="3"/>
        </w:numPr>
        <w:spacing w:before="32" w:after="32" w:line="360" w:lineRule="auto"/>
      </w:pPr>
      <w:r>
        <w:rPr>
          <w:rFonts w:hint="eastAsia"/>
        </w:rPr>
        <w:t>设有使用权限数字化病案功能；设有网络申请和审批使用数字化病案功能；设有授权的时段内（永久、年、月、日、小时）功能（超出时间范围自动屏蔽）；医保、商业保险公司以及公检法等外部用户可以按系统临时授予的权限查看病案。</w:t>
      </w:r>
    </w:p>
    <w:p>
      <w:pPr>
        <w:pStyle w:val="25"/>
        <w:numPr>
          <w:ilvl w:val="0"/>
          <w:numId w:val="3"/>
        </w:numPr>
        <w:spacing w:before="32" w:after="32" w:line="360" w:lineRule="auto"/>
      </w:pPr>
      <w:r>
        <w:rPr>
          <w:rFonts w:hint="eastAsia"/>
        </w:rPr>
        <w:t>病案访问权限分为阅读、打印和导出三类，每一级权限向下兼容，访问控制包括用户组权限、科室权限、有效期限制、医学分类限制、</w:t>
      </w:r>
      <w:r>
        <w:t>IP</w:t>
      </w:r>
      <w:r>
        <w:rPr>
          <w:rFonts w:hint="eastAsia"/>
        </w:rPr>
        <w:t>地址限制、显示字段限制和特殊病案锁定。</w:t>
      </w:r>
    </w:p>
    <w:p>
      <w:pPr>
        <w:pStyle w:val="25"/>
        <w:numPr>
          <w:ilvl w:val="0"/>
          <w:numId w:val="3"/>
        </w:numPr>
        <w:spacing w:before="32" w:after="32" w:line="360" w:lineRule="auto"/>
      </w:pPr>
      <w:r>
        <w:rPr>
          <w:rFonts w:hint="eastAsia"/>
        </w:rPr>
        <w:t>系统自动记录用户在系统内所有操作的详细日志，并可形成报表，便于回溯追踪。</w:t>
      </w:r>
    </w:p>
    <w:p>
      <w:pPr>
        <w:pStyle w:val="25"/>
        <w:numPr>
          <w:ilvl w:val="0"/>
          <w:numId w:val="3"/>
        </w:numPr>
        <w:spacing w:before="32" w:after="32" w:line="360" w:lineRule="auto"/>
      </w:pPr>
      <w:r>
        <w:rPr>
          <w:rFonts w:hint="eastAsia"/>
        </w:rPr>
        <w:t>系统可实现对病案数据的磁盘备份，提供定时定期的数据备份以及还原功能。</w:t>
      </w:r>
    </w:p>
    <w:p>
      <w:pPr>
        <w:pStyle w:val="25"/>
        <w:numPr>
          <w:ilvl w:val="0"/>
          <w:numId w:val="3"/>
        </w:numPr>
        <w:spacing w:before="32" w:after="32" w:line="360" w:lineRule="auto"/>
      </w:pPr>
      <w:r>
        <w:rPr>
          <w:rFonts w:hint="eastAsia"/>
        </w:rPr>
        <w:t>数字化病案的图像清晰、无歪斜、打印清晰，每幅图像均有属性</w:t>
      </w:r>
      <w:r>
        <w:rPr>
          <w:rFonts w:hint="default"/>
          <w:color w:val="FF0000"/>
          <w:woUserID w:val="1"/>
        </w:rPr>
        <w:t>及页码</w:t>
      </w:r>
      <w:r>
        <w:rPr>
          <w:rFonts w:hint="eastAsia"/>
        </w:rPr>
        <w:t>标注，病历索引数据与病历图像对应完全正确。</w:t>
      </w:r>
    </w:p>
    <w:p>
      <w:pPr>
        <w:pStyle w:val="25"/>
        <w:spacing w:before="32" w:after="32"/>
        <w:rPr>
          <w:rFonts w:ascii="宋体" w:hAnsi="宋体"/>
          <w:b/>
        </w:rPr>
      </w:pPr>
      <w:r>
        <w:rPr>
          <w:rFonts w:hint="eastAsia" w:ascii="宋体" w:hAnsi="宋体"/>
          <w:b/>
        </w:rPr>
        <w:t>（三）</w:t>
      </w:r>
      <w:r>
        <w:rPr>
          <w:rFonts w:hint="eastAsia"/>
          <w:b/>
        </w:rPr>
        <w:t>数字化病案验收</w:t>
      </w:r>
    </w:p>
    <w:p>
      <w:pPr>
        <w:pStyle w:val="25"/>
        <w:numPr>
          <w:ilvl w:val="0"/>
          <w:numId w:val="4"/>
        </w:numPr>
        <w:spacing w:before="32" w:after="32"/>
        <w:rPr>
          <w:bCs/>
        </w:rPr>
      </w:pPr>
      <w:r>
        <w:rPr>
          <w:rFonts w:hint="eastAsia"/>
          <w:bCs/>
        </w:rPr>
        <w:t>验收方法：中标方协助采购人随机抽查一定数量的病案图像和纸质病案，比例为</w:t>
      </w:r>
      <w:r>
        <w:rPr>
          <w:rFonts w:hint="eastAsia"/>
        </w:rPr>
        <w:t>数字化病案</w:t>
      </w:r>
      <w:r>
        <w:rPr>
          <w:rFonts w:hint="eastAsia"/>
          <w:bCs/>
        </w:rPr>
        <w:t>图像总数的3%，前、中、后随机抽查，并与纸质病案对照核对数量及质量。</w:t>
      </w:r>
    </w:p>
    <w:p>
      <w:pPr>
        <w:pStyle w:val="25"/>
        <w:spacing w:before="32" w:after="32"/>
        <w:rPr>
          <w:bCs/>
        </w:rPr>
      </w:pPr>
      <w:r>
        <w:rPr>
          <w:rFonts w:hint="eastAsia"/>
          <w:bCs/>
        </w:rPr>
        <w:t>2.</w:t>
      </w:r>
      <w:r>
        <w:rPr>
          <w:rFonts w:hint="eastAsia"/>
          <w:bCs/>
        </w:rPr>
        <w:tab/>
      </w:r>
      <w:r>
        <w:rPr>
          <w:rFonts w:hint="eastAsia"/>
          <w:bCs/>
        </w:rPr>
        <w:t>验收标准：</w:t>
      </w:r>
    </w:p>
    <w:p>
      <w:pPr>
        <w:pStyle w:val="25"/>
        <w:spacing w:before="32" w:after="32"/>
        <w:ind w:left="420" w:leftChars="200"/>
        <w:rPr>
          <w:bCs/>
        </w:rPr>
      </w:pPr>
      <w:r>
        <w:rPr>
          <w:rFonts w:hint="eastAsia"/>
          <w:bCs/>
        </w:rPr>
        <w:t>①</w:t>
      </w:r>
      <w:r>
        <w:rPr>
          <w:rFonts w:hint="eastAsia"/>
          <w:bCs/>
        </w:rPr>
        <w:tab/>
      </w:r>
      <w:r>
        <w:rPr>
          <w:rFonts w:hint="eastAsia"/>
        </w:rPr>
        <w:t>数字化病案</w:t>
      </w:r>
      <w:r>
        <w:rPr>
          <w:rFonts w:hint="eastAsia"/>
          <w:bCs/>
        </w:rPr>
        <w:t>图像是否与纸质病案完全一致。</w:t>
      </w:r>
    </w:p>
    <w:p>
      <w:pPr>
        <w:pStyle w:val="25"/>
        <w:spacing w:before="32" w:after="32"/>
        <w:ind w:left="420" w:leftChars="200"/>
        <w:rPr>
          <w:bCs/>
        </w:rPr>
      </w:pPr>
      <w:r>
        <w:rPr>
          <w:rFonts w:hint="eastAsia"/>
          <w:bCs/>
        </w:rPr>
        <w:t>②</w:t>
      </w:r>
      <w:r>
        <w:rPr>
          <w:rFonts w:hint="eastAsia"/>
          <w:bCs/>
        </w:rPr>
        <w:tab/>
      </w:r>
      <w:r>
        <w:rPr>
          <w:rFonts w:hint="eastAsia"/>
        </w:rPr>
        <w:t>数字化病案</w:t>
      </w:r>
      <w:r>
        <w:rPr>
          <w:rFonts w:hint="eastAsia"/>
          <w:bCs/>
        </w:rPr>
        <w:t>图像格式和清晰度是否符合要求；</w:t>
      </w:r>
    </w:p>
    <w:p>
      <w:pPr>
        <w:pStyle w:val="25"/>
        <w:spacing w:before="32" w:after="32"/>
        <w:ind w:left="420" w:leftChars="200"/>
        <w:rPr>
          <w:bCs/>
        </w:rPr>
      </w:pPr>
      <w:r>
        <w:rPr>
          <w:rFonts w:hint="eastAsia"/>
          <w:bCs/>
        </w:rPr>
        <w:t>③</w:t>
      </w:r>
      <w:r>
        <w:rPr>
          <w:rFonts w:hint="eastAsia"/>
          <w:bCs/>
        </w:rPr>
        <w:tab/>
      </w:r>
      <w:r>
        <w:rPr>
          <w:rFonts w:hint="eastAsia"/>
        </w:rPr>
        <w:t>数字化病案</w:t>
      </w:r>
      <w:r>
        <w:rPr>
          <w:rFonts w:hint="eastAsia"/>
          <w:bCs/>
        </w:rPr>
        <w:t>的文件夹命名是否合乎标准，是否已分段；</w:t>
      </w:r>
    </w:p>
    <w:p>
      <w:pPr>
        <w:pStyle w:val="25"/>
        <w:spacing w:before="32" w:after="32"/>
        <w:ind w:left="420" w:leftChars="200"/>
        <w:rPr>
          <w:bCs/>
        </w:rPr>
      </w:pPr>
      <w:r>
        <w:rPr>
          <w:rFonts w:hint="eastAsia"/>
          <w:bCs/>
        </w:rPr>
        <w:t>④</w:t>
      </w:r>
      <w:r>
        <w:rPr>
          <w:rFonts w:hint="eastAsia"/>
          <w:bCs/>
        </w:rPr>
        <w:tab/>
      </w:r>
      <w:r>
        <w:rPr>
          <w:rFonts w:hint="eastAsia"/>
          <w:bCs/>
        </w:rPr>
        <w:t>差错率：依据“纸质档案数字化技术标准（中华人民共和国档案行业标准 DA/T31-2005）”11.2.2之规定，数字化转换质量抽检的合格率应≧95%。</w:t>
      </w:r>
    </w:p>
    <w:p>
      <w:pPr>
        <w:pStyle w:val="25"/>
        <w:spacing w:before="32" w:after="32"/>
        <w:ind w:left="420" w:leftChars="200"/>
        <w:rPr>
          <w:bCs/>
        </w:rPr>
      </w:pPr>
      <w:r>
        <w:rPr>
          <w:rFonts w:hint="eastAsia"/>
          <w:bCs/>
        </w:rPr>
        <w:t>⑤</w:t>
      </w:r>
      <w:r>
        <w:rPr>
          <w:rFonts w:hint="eastAsia"/>
          <w:bCs/>
        </w:rPr>
        <w:tab/>
      </w:r>
      <w:r>
        <w:rPr>
          <w:rFonts w:hint="eastAsia"/>
          <w:bCs/>
        </w:rPr>
        <w:t>首页信息的主要数据项（姓名、病案号、出院日期、主要诊断、手术）的差错率不得超过3‰。</w:t>
      </w:r>
    </w:p>
    <w:p>
      <w:pPr>
        <w:pStyle w:val="25"/>
        <w:spacing w:before="32" w:after="32"/>
        <w:rPr>
          <w:bCs/>
        </w:rPr>
      </w:pPr>
      <w:r>
        <w:rPr>
          <w:rFonts w:hint="eastAsia"/>
          <w:bCs/>
        </w:rPr>
        <w:t>3.</w:t>
      </w:r>
      <w:r>
        <w:rPr>
          <w:rFonts w:hint="eastAsia"/>
          <w:bCs/>
        </w:rPr>
        <w:tab/>
      </w:r>
      <w:r>
        <w:rPr>
          <w:rFonts w:hint="eastAsia"/>
          <w:bCs/>
        </w:rPr>
        <w:t>验收流程：</w:t>
      </w:r>
    </w:p>
    <w:p>
      <w:pPr>
        <w:pStyle w:val="29"/>
        <w:spacing w:before="64" w:after="64"/>
        <w:ind w:firstLine="480"/>
      </w:pPr>
      <w:r>
        <w:rPr>
          <w:rFonts w:hint="eastAsia"/>
        </w:rPr>
        <w:t>供应商每数字化满</w:t>
      </w:r>
      <w:r>
        <w:rPr>
          <w:rFonts w:hint="eastAsia"/>
          <w:highlight w:val="yellow"/>
        </w:rPr>
        <w:t>100万页</w:t>
      </w:r>
      <w:r>
        <w:rPr>
          <w:rFonts w:hint="eastAsia"/>
        </w:rPr>
        <w:t>的病案后，向采购人申请验收，采购人应当在一周内完成验收。若采购人验收不合格，供应商应在10个工作日的纠正期内完成纠正工作，并由采购人再次验收直至验收合格。</w:t>
      </w:r>
    </w:p>
    <w:p>
      <w:pPr>
        <w:pStyle w:val="25"/>
        <w:spacing w:before="32" w:after="32"/>
        <w:rPr>
          <w:b/>
        </w:rPr>
      </w:pPr>
      <w:r>
        <w:rPr>
          <w:rFonts w:hint="eastAsia"/>
          <w:b/>
        </w:rPr>
        <w:t>（四）软件模块要求</w:t>
      </w:r>
    </w:p>
    <w:p>
      <w:pPr>
        <w:pStyle w:val="25"/>
        <w:numPr>
          <w:ilvl w:val="0"/>
          <w:numId w:val="5"/>
        </w:numPr>
        <w:spacing w:before="32" w:after="32"/>
        <w:rPr>
          <w:b/>
          <w:bCs/>
        </w:rPr>
      </w:pPr>
      <w:r>
        <w:rPr>
          <w:rFonts w:hint="eastAsia"/>
          <w:b/>
          <w:bCs/>
        </w:rPr>
        <w:t>数字化病案应用系统</w:t>
      </w:r>
    </w:p>
    <w:p>
      <w:pPr>
        <w:numPr>
          <w:ilvl w:val="0"/>
          <w:numId w:val="6"/>
        </w:numPr>
        <w:spacing w:line="360" w:lineRule="auto"/>
        <w:ind w:left="315" w:leftChars="150"/>
        <w:rPr>
          <w:rFonts w:ascii="宋体"/>
          <w:b/>
          <w:bCs/>
          <w:sz w:val="24"/>
        </w:rPr>
      </w:pPr>
      <w:r>
        <w:rPr>
          <w:rFonts w:hint="eastAsia" w:ascii="宋体"/>
          <w:b/>
          <w:bCs/>
          <w:sz w:val="24"/>
        </w:rPr>
        <w:t>权限管理模块</w:t>
      </w:r>
    </w:p>
    <w:p>
      <w:pPr>
        <w:numPr>
          <w:ilvl w:val="0"/>
          <w:numId w:val="7"/>
        </w:numPr>
        <w:spacing w:line="360" w:lineRule="auto"/>
        <w:rPr>
          <w:rFonts w:ascii="宋体"/>
          <w:sz w:val="24"/>
        </w:rPr>
      </w:pPr>
      <w:r>
        <w:rPr>
          <w:rFonts w:hint="eastAsia" w:ascii="宋体"/>
          <w:sz w:val="24"/>
        </w:rPr>
        <w:t>用户管理：管理内部及外部用户的信息，可以对系统登录用户的信息进行查询/添加/修改/删除。</w:t>
      </w:r>
    </w:p>
    <w:p>
      <w:pPr>
        <w:numPr>
          <w:ilvl w:val="0"/>
          <w:numId w:val="7"/>
        </w:numPr>
        <w:spacing w:line="360" w:lineRule="auto"/>
        <w:rPr>
          <w:rFonts w:ascii="宋体"/>
          <w:sz w:val="24"/>
        </w:rPr>
      </w:pPr>
      <w:r>
        <w:rPr>
          <w:rFonts w:hint="eastAsia" w:ascii="宋体"/>
          <w:sz w:val="24"/>
        </w:rPr>
        <w:t>用户组管理：查询/添加/修改/删除用户组，并可设置人员所属的用户组。</w:t>
      </w:r>
    </w:p>
    <w:p>
      <w:pPr>
        <w:numPr>
          <w:ilvl w:val="0"/>
          <w:numId w:val="7"/>
        </w:numPr>
        <w:spacing w:line="360" w:lineRule="auto"/>
        <w:rPr>
          <w:rFonts w:ascii="宋体"/>
          <w:sz w:val="24"/>
        </w:rPr>
      </w:pPr>
      <w:r>
        <w:rPr>
          <w:rFonts w:hint="eastAsia" w:ascii="宋体"/>
          <w:sz w:val="24"/>
        </w:rPr>
        <w:t>用户组权限：设置用户组所拥有的系统功能的权限。</w:t>
      </w:r>
    </w:p>
    <w:p>
      <w:pPr>
        <w:numPr>
          <w:ilvl w:val="0"/>
          <w:numId w:val="7"/>
        </w:numPr>
        <w:spacing w:line="360" w:lineRule="auto"/>
        <w:rPr>
          <w:rFonts w:ascii="宋体"/>
          <w:sz w:val="24"/>
        </w:rPr>
      </w:pPr>
      <w:r>
        <w:rPr>
          <w:rFonts w:hint="eastAsia" w:ascii="宋体"/>
          <w:sz w:val="24"/>
        </w:rPr>
        <w:t>科室管理：查询/添加/修改/删除科室信息，并可维护科室下包含的人员。</w:t>
      </w:r>
    </w:p>
    <w:p>
      <w:pPr>
        <w:numPr>
          <w:ilvl w:val="0"/>
          <w:numId w:val="7"/>
        </w:numPr>
        <w:spacing w:line="360" w:lineRule="auto"/>
        <w:rPr>
          <w:rFonts w:ascii="宋体"/>
          <w:sz w:val="24"/>
        </w:rPr>
      </w:pPr>
      <w:r>
        <w:rPr>
          <w:rFonts w:hint="eastAsia" w:ascii="宋体"/>
          <w:sz w:val="24"/>
        </w:rPr>
        <w:t>病案权限配置：配置病案浏览的权限（按用户及按用户组），可以按照用户的方式一个个地进行病案权限的配置，也可以按照用户组的方式进行整体分配（如直接将某个科室的病案分配给用户组），同时也可以设置病案图片医学分类的权限，可以分别设置病案的阅读，打印及导出的权限。</w:t>
      </w:r>
    </w:p>
    <w:p>
      <w:pPr>
        <w:numPr>
          <w:ilvl w:val="0"/>
          <w:numId w:val="7"/>
        </w:numPr>
        <w:spacing w:line="360" w:lineRule="auto"/>
        <w:rPr>
          <w:rFonts w:ascii="宋体"/>
          <w:sz w:val="24"/>
        </w:rPr>
      </w:pPr>
      <w:r>
        <w:rPr>
          <w:rFonts w:hint="eastAsia" w:ascii="宋体"/>
          <w:sz w:val="24"/>
        </w:rPr>
        <w:t>医学分类模板：设置病案图片的医学分类权限模板，在为病案分配权限时可以直接引用该模板，无需重复设置。</w:t>
      </w:r>
    </w:p>
    <w:p>
      <w:pPr>
        <w:numPr>
          <w:ilvl w:val="0"/>
          <w:numId w:val="7"/>
        </w:numPr>
        <w:spacing w:line="360" w:lineRule="auto"/>
        <w:rPr>
          <w:rFonts w:ascii="宋体"/>
          <w:sz w:val="24"/>
        </w:rPr>
      </w:pPr>
      <w:r>
        <w:rPr>
          <w:rFonts w:hint="eastAsia" w:ascii="宋体"/>
          <w:sz w:val="24"/>
        </w:rPr>
        <w:t>访问权限控制：可以设置禁止访问的机器的IP，被禁止访问的I</w:t>
      </w:r>
      <w:r>
        <w:rPr>
          <w:rFonts w:ascii="宋体"/>
          <w:sz w:val="24"/>
        </w:rPr>
        <w:t>P</w:t>
      </w:r>
      <w:r>
        <w:rPr>
          <w:rFonts w:hint="eastAsia" w:ascii="宋体"/>
          <w:sz w:val="24"/>
        </w:rPr>
        <w:t>对应的机器就无法使用本系统。</w:t>
      </w:r>
    </w:p>
    <w:p>
      <w:pPr>
        <w:numPr>
          <w:ilvl w:val="0"/>
          <w:numId w:val="7"/>
        </w:numPr>
        <w:spacing w:line="360" w:lineRule="auto"/>
        <w:rPr>
          <w:rFonts w:ascii="宋体"/>
          <w:sz w:val="24"/>
        </w:rPr>
      </w:pPr>
      <w:r>
        <w:rPr>
          <w:rFonts w:hint="eastAsia" w:ascii="宋体"/>
          <w:sz w:val="24"/>
        </w:rPr>
        <w:t>显示字段控制：可以设置在浏览器中浏览病案时列表中所显示的字段。可以在用户级别和用户组级别上进行显示权限的控制。</w:t>
      </w:r>
    </w:p>
    <w:p>
      <w:pPr>
        <w:numPr>
          <w:ilvl w:val="0"/>
          <w:numId w:val="7"/>
        </w:numPr>
        <w:spacing w:line="360" w:lineRule="auto"/>
        <w:rPr>
          <w:rFonts w:ascii="宋体"/>
          <w:sz w:val="24"/>
        </w:rPr>
      </w:pPr>
      <w:r>
        <w:rPr>
          <w:rFonts w:hint="eastAsia" w:ascii="宋体"/>
          <w:sz w:val="24"/>
        </w:rPr>
        <w:t>水印设置：可以制作在打印时叠加上去的水印，并且在打印病案的时候可以将其叠加到病案图片上。</w:t>
      </w:r>
    </w:p>
    <w:p>
      <w:pPr>
        <w:numPr>
          <w:ilvl w:val="0"/>
          <w:numId w:val="7"/>
        </w:numPr>
        <w:spacing w:line="360" w:lineRule="auto"/>
        <w:rPr>
          <w:rFonts w:ascii="宋体"/>
          <w:sz w:val="24"/>
        </w:rPr>
      </w:pPr>
      <w:r>
        <w:rPr>
          <w:rFonts w:hint="eastAsia" w:ascii="宋体"/>
          <w:sz w:val="24"/>
        </w:rPr>
        <w:t>病案锁定：可以将一些特殊的病案进行锁定，被锁定的病案将无法在浏览器中被查询到。</w:t>
      </w:r>
    </w:p>
    <w:p>
      <w:pPr>
        <w:numPr>
          <w:ilvl w:val="0"/>
          <w:numId w:val="7"/>
        </w:numPr>
        <w:spacing w:line="360" w:lineRule="auto"/>
        <w:rPr>
          <w:rFonts w:ascii="宋体"/>
          <w:sz w:val="24"/>
        </w:rPr>
      </w:pPr>
      <w:r>
        <w:rPr>
          <w:rFonts w:hint="eastAsia" w:ascii="宋体"/>
          <w:sz w:val="24"/>
        </w:rPr>
        <w:t>病案申请审批：对浏览器中提交过来的病案阅读申请进行审批，可以为申请的病案设定阅读的时限等。</w:t>
      </w:r>
    </w:p>
    <w:p>
      <w:pPr>
        <w:numPr>
          <w:ilvl w:val="0"/>
          <w:numId w:val="7"/>
        </w:numPr>
        <w:spacing w:line="360" w:lineRule="auto"/>
        <w:rPr>
          <w:rFonts w:ascii="宋体"/>
          <w:sz w:val="24"/>
        </w:rPr>
      </w:pPr>
      <w:r>
        <w:rPr>
          <w:rFonts w:hint="eastAsia" w:ascii="宋体"/>
          <w:sz w:val="24"/>
        </w:rPr>
        <w:t>监控中心：查看各个系统的用户的使用的情况，包括：用户是否在线，用户有申请需要审批，用户的浏览病案的历史情况，用户权限等。</w:t>
      </w:r>
    </w:p>
    <w:p>
      <w:pPr>
        <w:numPr>
          <w:ilvl w:val="0"/>
          <w:numId w:val="7"/>
        </w:numPr>
        <w:spacing w:line="360" w:lineRule="auto"/>
        <w:rPr>
          <w:rFonts w:ascii="宋体"/>
          <w:sz w:val="24"/>
        </w:rPr>
      </w:pPr>
      <w:r>
        <w:rPr>
          <w:rFonts w:hint="eastAsia" w:ascii="宋体"/>
          <w:sz w:val="24"/>
        </w:rPr>
        <w:t>病案错误报告：处理病案浏览器上用户反馈上来的病案错误（如：图片缺页/分类错误等）。</w:t>
      </w:r>
    </w:p>
    <w:p>
      <w:pPr>
        <w:numPr>
          <w:ilvl w:val="0"/>
          <w:numId w:val="7"/>
        </w:numPr>
        <w:spacing w:line="360" w:lineRule="auto"/>
        <w:rPr>
          <w:rFonts w:ascii="宋体"/>
          <w:sz w:val="24"/>
        </w:rPr>
      </w:pPr>
      <w:r>
        <w:rPr>
          <w:rFonts w:hint="eastAsia" w:ascii="宋体"/>
          <w:sz w:val="24"/>
        </w:rPr>
        <w:t>病案定位：查询病案在库房中的位置，可按病人姓名，病案号，出院日期，条码号，打包号，库房号或库位名查询，并生成统计报表。</w:t>
      </w:r>
    </w:p>
    <w:p>
      <w:pPr>
        <w:numPr>
          <w:ilvl w:val="0"/>
          <w:numId w:val="7"/>
        </w:numPr>
        <w:spacing w:line="360" w:lineRule="auto"/>
        <w:rPr>
          <w:rFonts w:ascii="宋体"/>
          <w:sz w:val="24"/>
        </w:rPr>
      </w:pPr>
      <w:r>
        <w:rPr>
          <w:rFonts w:hint="eastAsia" w:ascii="宋体"/>
          <w:sz w:val="24"/>
        </w:rPr>
        <w:t>病案导出：可以将选择好病案进行打包压缩导出，配合相应的浏览工具可在离线的环境下浏览。</w:t>
      </w:r>
    </w:p>
    <w:p>
      <w:pPr>
        <w:numPr>
          <w:ilvl w:val="0"/>
          <w:numId w:val="7"/>
        </w:numPr>
        <w:spacing w:line="360" w:lineRule="auto"/>
        <w:rPr>
          <w:rFonts w:ascii="宋体"/>
          <w:sz w:val="24"/>
        </w:rPr>
      </w:pPr>
      <w:r>
        <w:rPr>
          <w:rFonts w:hint="eastAsia" w:ascii="宋体"/>
          <w:sz w:val="24"/>
        </w:rPr>
        <w:t>病案浏览统计：可查询用户、科室在某一时间段内数字化病案使用情况，并生成统计报表。</w:t>
      </w:r>
    </w:p>
    <w:p>
      <w:pPr>
        <w:numPr>
          <w:ilvl w:val="0"/>
          <w:numId w:val="6"/>
        </w:numPr>
        <w:spacing w:line="360" w:lineRule="auto"/>
        <w:ind w:left="315" w:leftChars="150"/>
        <w:rPr>
          <w:rFonts w:ascii="宋体"/>
          <w:b/>
          <w:bCs/>
          <w:sz w:val="24"/>
        </w:rPr>
      </w:pPr>
      <w:r>
        <w:rPr>
          <w:rFonts w:hint="eastAsia" w:ascii="宋体"/>
          <w:b/>
          <w:bCs/>
          <w:sz w:val="24"/>
        </w:rPr>
        <w:t>检索模块</w:t>
      </w:r>
    </w:p>
    <w:p>
      <w:pPr>
        <w:numPr>
          <w:ilvl w:val="0"/>
          <w:numId w:val="7"/>
        </w:numPr>
        <w:spacing w:line="360" w:lineRule="auto"/>
        <w:rPr>
          <w:rFonts w:ascii="宋体"/>
          <w:sz w:val="24"/>
        </w:rPr>
      </w:pPr>
      <w:r>
        <w:rPr>
          <w:rFonts w:hint="eastAsia" w:ascii="宋体"/>
          <w:sz w:val="24"/>
        </w:rPr>
        <w:t>关键词搜索：一个简洁的搜索方式，类似google的搜索方式。可以选择搜索分类（病案号/疾病/手术/科室/病人姓名/医生），多关键词搜索（可以填写多个搜索关键词及指定关键词之间的关系），精确与模糊的搜索方式。</w:t>
      </w:r>
    </w:p>
    <w:p>
      <w:pPr>
        <w:numPr>
          <w:ilvl w:val="0"/>
          <w:numId w:val="7"/>
        </w:numPr>
        <w:spacing w:line="360" w:lineRule="auto"/>
        <w:rPr>
          <w:rFonts w:ascii="宋体"/>
          <w:sz w:val="24"/>
        </w:rPr>
      </w:pPr>
      <w:r>
        <w:rPr>
          <w:rFonts w:hint="eastAsia" w:ascii="宋体"/>
          <w:sz w:val="24"/>
        </w:rPr>
        <w:t>高级搜索：可以按照列出的各种查询条件对病案进行查询，这种检索方式常用于检索条件比较多的情况下。</w:t>
      </w:r>
    </w:p>
    <w:p>
      <w:pPr>
        <w:numPr>
          <w:ilvl w:val="0"/>
          <w:numId w:val="7"/>
        </w:numPr>
        <w:spacing w:line="360" w:lineRule="auto"/>
        <w:rPr>
          <w:rFonts w:ascii="宋体"/>
          <w:sz w:val="24"/>
        </w:rPr>
      </w:pPr>
      <w:r>
        <w:rPr>
          <w:rFonts w:hint="eastAsia" w:ascii="宋体"/>
          <w:sz w:val="24"/>
        </w:rPr>
        <w:t>自定义搜索：可以自定义组织查询条件的组合进行搜索。这种检索方式常用于需检索的条件比较复杂的情况下。</w:t>
      </w:r>
    </w:p>
    <w:p>
      <w:pPr>
        <w:numPr>
          <w:ilvl w:val="0"/>
          <w:numId w:val="7"/>
        </w:numPr>
        <w:spacing w:line="360" w:lineRule="auto"/>
        <w:rPr>
          <w:rFonts w:ascii="宋体"/>
          <w:sz w:val="24"/>
        </w:rPr>
      </w:pPr>
      <w:r>
        <w:rPr>
          <w:rFonts w:hint="eastAsia" w:ascii="宋体"/>
          <w:sz w:val="24"/>
        </w:rPr>
        <w:t>经典搜索：传统的检索方式，左边是检索条件右边是检索结果。在检索时还可设定病案图片的医学分类，以便在查看病案图片时过滤掉无需查看的图片。</w:t>
      </w:r>
    </w:p>
    <w:p>
      <w:pPr>
        <w:numPr>
          <w:ilvl w:val="0"/>
          <w:numId w:val="7"/>
        </w:numPr>
        <w:spacing w:line="360" w:lineRule="auto"/>
        <w:rPr>
          <w:rFonts w:ascii="宋体"/>
          <w:sz w:val="24"/>
        </w:rPr>
      </w:pPr>
      <w:r>
        <w:rPr>
          <w:rFonts w:hint="eastAsia" w:ascii="宋体"/>
          <w:sz w:val="24"/>
        </w:rPr>
        <w:t>病案搜索结果：拥有两种显示结果的模式：列表方式与自由布局方式。列表方式为最常见的一行一行的显示，自由布局方式为卡片时效果，一份病案即一张卡片，显示效果清晰。</w:t>
      </w:r>
    </w:p>
    <w:p>
      <w:pPr>
        <w:numPr>
          <w:ilvl w:val="0"/>
          <w:numId w:val="7"/>
        </w:numPr>
        <w:spacing w:line="360" w:lineRule="auto"/>
        <w:rPr>
          <w:rFonts w:ascii="宋体"/>
          <w:sz w:val="24"/>
        </w:rPr>
      </w:pPr>
      <w:r>
        <w:rPr>
          <w:rFonts w:hint="eastAsia" w:ascii="宋体"/>
          <w:sz w:val="24"/>
        </w:rPr>
        <w:t>病案图片浏览：对病案图片的浏览进行了严格的权限控制（阅读/打印/导出）。可以设置需要过滤的图片分类（例如只显示病案首页或病程录等），查看病案图片的同时可利用提供的‘浏览工具箱’对图片进行一系列的处理（如放大/缩小/全屏/黑白彩色切换/裁剪/打印等等）。浏览期间可对感兴趣的病案收藏到收藏夹并且可以填写笔记。显示病案图片时可以设置阅读水印，用于病案的保护。</w:t>
      </w:r>
    </w:p>
    <w:p>
      <w:pPr>
        <w:numPr>
          <w:ilvl w:val="0"/>
          <w:numId w:val="7"/>
        </w:numPr>
        <w:spacing w:line="360" w:lineRule="auto"/>
        <w:rPr>
          <w:rFonts w:ascii="宋体"/>
          <w:sz w:val="24"/>
        </w:rPr>
      </w:pPr>
      <w:r>
        <w:rPr>
          <w:rFonts w:hint="eastAsia" w:ascii="宋体"/>
          <w:sz w:val="24"/>
        </w:rPr>
        <w:t>病案收藏夹：用于显示及搜索在浏览病案时收藏的病案并且可以显示当时记录的病案笔记，类似IE浏览器的网页收藏夹。</w:t>
      </w:r>
    </w:p>
    <w:p>
      <w:pPr>
        <w:numPr>
          <w:ilvl w:val="0"/>
          <w:numId w:val="7"/>
        </w:numPr>
        <w:spacing w:line="360" w:lineRule="auto"/>
        <w:rPr>
          <w:rFonts w:ascii="宋体"/>
          <w:sz w:val="24"/>
        </w:rPr>
      </w:pPr>
      <w:r>
        <w:rPr>
          <w:rFonts w:hint="eastAsia" w:ascii="宋体"/>
          <w:sz w:val="24"/>
        </w:rPr>
        <w:t>申请查看：可以浏览并查询用户曾经申请过的需要查阅的病案的记录，及时了解审批情况。</w:t>
      </w:r>
    </w:p>
    <w:p>
      <w:pPr>
        <w:numPr>
          <w:ilvl w:val="0"/>
          <w:numId w:val="7"/>
        </w:numPr>
        <w:spacing w:line="360" w:lineRule="auto"/>
        <w:rPr>
          <w:rFonts w:ascii="宋体"/>
          <w:sz w:val="24"/>
        </w:rPr>
      </w:pPr>
      <w:r>
        <w:rPr>
          <w:rFonts w:hint="eastAsia" w:ascii="宋体"/>
          <w:sz w:val="24"/>
        </w:rPr>
        <w:t>浏览历史：查询用户曾经浏览过的病案记录，类似IE浏览器的历史记录，可以方便用户查看以往浏览过的病案，而无须再一次搜索。</w:t>
      </w:r>
    </w:p>
    <w:p>
      <w:pPr>
        <w:numPr>
          <w:ilvl w:val="0"/>
          <w:numId w:val="7"/>
        </w:numPr>
        <w:spacing w:line="360" w:lineRule="auto"/>
        <w:rPr>
          <w:rFonts w:ascii="宋体"/>
          <w:sz w:val="24"/>
        </w:rPr>
      </w:pPr>
      <w:r>
        <w:rPr>
          <w:rFonts w:hint="eastAsia" w:ascii="宋体"/>
          <w:sz w:val="24"/>
        </w:rPr>
        <w:t>个性化设置：可以按照用户个人的喜好设置一些系统设置，如：首页显示（进入系统后显示的第一个界面），浏览结果的显示方式（检索结果每页显示的条数/检索结果排列的方式等），医学分类的设置（用于在浏览图片时预先过滤无需查看的病案），病案图片打印的设置（纸张/水印等）等。</w:t>
      </w:r>
    </w:p>
    <w:p>
      <w:pPr>
        <w:numPr>
          <w:ilvl w:val="0"/>
          <w:numId w:val="6"/>
        </w:numPr>
        <w:spacing w:line="360" w:lineRule="auto"/>
        <w:ind w:left="315" w:leftChars="150"/>
        <w:rPr>
          <w:rFonts w:ascii="宋体"/>
          <w:b/>
          <w:bCs/>
          <w:sz w:val="24"/>
        </w:rPr>
      </w:pPr>
      <w:r>
        <w:rPr>
          <w:rFonts w:hint="eastAsia" w:ascii="宋体"/>
          <w:b/>
          <w:bCs/>
          <w:sz w:val="24"/>
        </w:rPr>
        <w:t>打印模块</w:t>
      </w:r>
    </w:p>
    <w:p>
      <w:pPr>
        <w:numPr>
          <w:ilvl w:val="0"/>
          <w:numId w:val="7"/>
        </w:numPr>
        <w:spacing w:line="360" w:lineRule="auto"/>
        <w:rPr>
          <w:rFonts w:ascii="宋体"/>
          <w:sz w:val="24"/>
        </w:rPr>
      </w:pPr>
      <w:r>
        <w:rPr>
          <w:rFonts w:hint="eastAsia" w:ascii="宋体"/>
          <w:sz w:val="24"/>
        </w:rPr>
        <w:t>打印申请：维护申请打印人员的信息及申请分类（打印或复印），可拍摄证件并归档保存，查询并选择需打印的病案，同时统计所需费用，并可自己调整实际收费。</w:t>
      </w:r>
    </w:p>
    <w:p>
      <w:pPr>
        <w:numPr>
          <w:ilvl w:val="0"/>
          <w:numId w:val="7"/>
        </w:numPr>
        <w:spacing w:line="360" w:lineRule="auto"/>
        <w:rPr>
          <w:rFonts w:ascii="宋体"/>
          <w:sz w:val="24"/>
        </w:rPr>
      </w:pPr>
      <w:r>
        <w:rPr>
          <w:rFonts w:hint="eastAsia" w:ascii="宋体"/>
          <w:sz w:val="24"/>
        </w:rPr>
        <w:t>快速打印：仅登记简单的打印申请信息，选择病案直接打印。</w:t>
      </w:r>
    </w:p>
    <w:p>
      <w:pPr>
        <w:numPr>
          <w:ilvl w:val="0"/>
          <w:numId w:val="7"/>
        </w:numPr>
        <w:spacing w:line="360" w:lineRule="auto"/>
        <w:rPr>
          <w:rFonts w:ascii="宋体"/>
          <w:sz w:val="24"/>
        </w:rPr>
      </w:pPr>
      <w:r>
        <w:rPr>
          <w:rFonts w:hint="eastAsia" w:ascii="宋体"/>
          <w:sz w:val="24"/>
        </w:rPr>
        <w:t>集中打印：未打印过的病案可以统一处理，按照申请人的记录完成打印任务。</w:t>
      </w:r>
    </w:p>
    <w:p>
      <w:pPr>
        <w:numPr>
          <w:ilvl w:val="0"/>
          <w:numId w:val="7"/>
        </w:numPr>
        <w:spacing w:line="360" w:lineRule="auto"/>
        <w:rPr>
          <w:rFonts w:ascii="宋体"/>
          <w:sz w:val="24"/>
        </w:rPr>
      </w:pPr>
      <w:r>
        <w:rPr>
          <w:rFonts w:hint="eastAsia" w:ascii="宋体"/>
          <w:sz w:val="24"/>
        </w:rPr>
        <w:t>集中复印：对未复印的病案进行集中统一处理。</w:t>
      </w:r>
    </w:p>
    <w:p>
      <w:pPr>
        <w:numPr>
          <w:ilvl w:val="0"/>
          <w:numId w:val="7"/>
        </w:numPr>
        <w:spacing w:line="360" w:lineRule="auto"/>
        <w:rPr>
          <w:rFonts w:ascii="宋体"/>
          <w:sz w:val="24"/>
        </w:rPr>
      </w:pPr>
      <w:r>
        <w:rPr>
          <w:rFonts w:hint="eastAsia" w:ascii="宋体"/>
          <w:sz w:val="24"/>
        </w:rPr>
        <w:t>申请查询：查询申请过打印或复印的申请人信息，并可查看申请人相应的申请信息，证件照，打印的病案记录，费用等。</w:t>
      </w:r>
    </w:p>
    <w:p>
      <w:pPr>
        <w:numPr>
          <w:ilvl w:val="0"/>
          <w:numId w:val="7"/>
        </w:numPr>
        <w:spacing w:line="360" w:lineRule="auto"/>
        <w:rPr>
          <w:rFonts w:ascii="宋体"/>
          <w:sz w:val="24"/>
        </w:rPr>
      </w:pPr>
      <w:r>
        <w:rPr>
          <w:rFonts w:hint="eastAsia" w:ascii="宋体"/>
          <w:sz w:val="24"/>
        </w:rPr>
        <w:t>打印参数：设置默认的打印参数（纸张大小/图片色彩/打印份数/打印分类及顺序/收费模式）</w:t>
      </w:r>
    </w:p>
    <w:p>
      <w:pPr>
        <w:numPr>
          <w:ilvl w:val="0"/>
          <w:numId w:val="7"/>
        </w:numPr>
        <w:spacing w:line="360" w:lineRule="auto"/>
        <w:rPr>
          <w:rFonts w:ascii="宋体"/>
          <w:sz w:val="24"/>
        </w:rPr>
      </w:pPr>
      <w:r>
        <w:rPr>
          <w:rFonts w:hint="eastAsia" w:ascii="宋体"/>
          <w:sz w:val="24"/>
        </w:rPr>
        <w:t>打印明细：按时间段及申请人统计申请人打印的病案的明细记录。</w:t>
      </w:r>
    </w:p>
    <w:p>
      <w:pPr>
        <w:numPr>
          <w:ilvl w:val="0"/>
          <w:numId w:val="7"/>
        </w:numPr>
        <w:spacing w:line="360" w:lineRule="auto"/>
        <w:rPr>
          <w:rFonts w:ascii="宋体"/>
          <w:sz w:val="24"/>
        </w:rPr>
      </w:pPr>
      <w:r>
        <w:rPr>
          <w:rFonts w:hint="eastAsia" w:ascii="宋体"/>
          <w:sz w:val="24"/>
        </w:rPr>
        <w:t>复印明细：按时间段及申请人统计申请人复印的病案的明细记录。</w:t>
      </w:r>
    </w:p>
    <w:p>
      <w:pPr>
        <w:numPr>
          <w:ilvl w:val="0"/>
          <w:numId w:val="8"/>
        </w:numPr>
        <w:spacing w:before="24" w:after="24" w:line="360" w:lineRule="auto"/>
        <w:rPr>
          <w:rFonts w:ascii="宋体" w:hAnsi="宋体"/>
          <w:bCs/>
        </w:rPr>
      </w:pPr>
      <w:r>
        <w:rPr>
          <w:rFonts w:hint="eastAsia" w:ascii="宋体"/>
          <w:sz w:val="24"/>
        </w:rPr>
        <w:t>邮寄明细：按时间段、申请人及邮寄状态统计病案邮寄的明细记录</w:t>
      </w:r>
      <w:r>
        <w:rPr>
          <w:rFonts w:hint="eastAsia" w:ascii="宋体"/>
        </w:rPr>
        <w:t>。</w:t>
      </w:r>
    </w:p>
    <w:p>
      <w:pPr>
        <w:pStyle w:val="25"/>
        <w:spacing w:before="32" w:after="32"/>
        <w:rPr>
          <w:rFonts w:ascii="宋体" w:hAnsi="宋体"/>
          <w:b/>
        </w:rPr>
      </w:pPr>
    </w:p>
    <w:p>
      <w:pPr>
        <w:pStyle w:val="25"/>
        <w:spacing w:before="32" w:after="32"/>
        <w:rPr>
          <w:rFonts w:ascii="宋体" w:hAnsi="宋体"/>
          <w:b/>
        </w:rPr>
      </w:pPr>
      <w:r>
        <w:rPr>
          <w:rFonts w:hint="eastAsia" w:ascii="宋体" w:hAnsi="宋体"/>
          <w:b/>
        </w:rPr>
        <w:t>（五）系统接口要求</w:t>
      </w:r>
    </w:p>
    <w:p>
      <w:pPr>
        <w:pStyle w:val="27"/>
        <w:numPr>
          <w:ilvl w:val="0"/>
          <w:numId w:val="8"/>
        </w:numPr>
        <w:spacing w:before="32" w:after="32"/>
      </w:pPr>
      <w:r>
        <w:rPr>
          <w:rFonts w:hint="eastAsia"/>
        </w:rPr>
        <w:t>病案首页系统接口：可导入已有的病案首页信息；</w:t>
      </w:r>
    </w:p>
    <w:p>
      <w:pPr>
        <w:pStyle w:val="25"/>
        <w:spacing w:before="32" w:after="32"/>
        <w:rPr>
          <w:rFonts w:ascii="宋体" w:hAnsi="宋体"/>
          <w:b/>
        </w:rPr>
      </w:pPr>
    </w:p>
    <w:p>
      <w:pPr>
        <w:pStyle w:val="25"/>
        <w:spacing w:before="32" w:after="32"/>
        <w:rPr>
          <w:rFonts w:ascii="宋体" w:hAnsi="宋体"/>
          <w:b/>
        </w:rPr>
      </w:pPr>
      <w:r>
        <w:rPr>
          <w:rFonts w:hint="eastAsia" w:ascii="宋体" w:hAnsi="宋体"/>
          <w:b/>
        </w:rPr>
        <w:t>（</w:t>
      </w:r>
      <w:r>
        <w:rPr>
          <w:rFonts w:hint="eastAsia"/>
          <w:b/>
        </w:rPr>
        <w:t>六</w:t>
      </w:r>
      <w:r>
        <w:rPr>
          <w:rFonts w:hint="eastAsia" w:ascii="宋体" w:hAnsi="宋体"/>
          <w:b/>
        </w:rPr>
        <w:t>）售后服务</w:t>
      </w:r>
    </w:p>
    <w:p>
      <w:pPr>
        <w:pStyle w:val="25"/>
        <w:spacing w:before="0" w:beforeLines="0" w:after="0" w:afterLines="0" w:line="360" w:lineRule="auto"/>
        <w:ind w:left="360" w:hanging="360" w:hangingChars="150"/>
      </w:pPr>
      <w:r>
        <w:rPr>
          <w:rFonts w:hint="eastAsia" w:ascii="宋体" w:hAnsi="宋体"/>
        </w:rPr>
        <w:t>1、故障报修的响应时间：周一至周五9:0</w:t>
      </w:r>
      <w:r>
        <w:rPr>
          <w:rFonts w:ascii="宋体" w:hAnsi="宋体"/>
        </w:rPr>
        <w:t>0</w:t>
      </w:r>
      <w:r>
        <w:rPr>
          <w:rFonts w:hint="eastAsia" w:ascii="宋体" w:hAnsi="宋体"/>
        </w:rPr>
        <w:t>～</w:t>
      </w:r>
      <w:r>
        <w:rPr>
          <w:rFonts w:ascii="宋体" w:hAnsi="宋体"/>
        </w:rPr>
        <w:t>1</w:t>
      </w:r>
      <w:r>
        <w:rPr>
          <w:rFonts w:hint="eastAsia" w:ascii="宋体" w:hAnsi="宋体"/>
        </w:rPr>
        <w:t>7</w:t>
      </w:r>
      <w:r>
        <w:rPr>
          <w:rFonts w:ascii="宋体" w:hAnsi="宋体"/>
        </w:rPr>
        <w:t>:00</w:t>
      </w:r>
      <w:r>
        <w:rPr>
          <w:rFonts w:hint="eastAsia" w:ascii="宋体" w:hAnsi="宋体"/>
        </w:rPr>
        <w:t>期间为2小时。若电话中无法解决，8小时内到达现场进行维护。</w:t>
      </w:r>
    </w:p>
    <w:p>
      <w:pPr>
        <w:pStyle w:val="25"/>
        <w:spacing w:before="0" w:beforeLines="0" w:after="0" w:afterLines="0" w:line="360" w:lineRule="auto"/>
        <w:ind w:left="360" w:hanging="360" w:hangingChars="150"/>
      </w:pPr>
      <w:r>
        <w:t>2</w:t>
      </w:r>
      <w:r>
        <w:rPr>
          <w:rFonts w:hint="eastAsia"/>
        </w:rPr>
        <w:t>、软件免费维护期为数字化病案应用系统验收通过后1年，期满后双方协商确定维护费。</w:t>
      </w:r>
    </w:p>
    <w:p>
      <w:pPr>
        <w:widowControl/>
        <w:jc w:val="left"/>
        <w:rPr>
          <w:rFonts w:ascii="仿宋" w:hAnsi="仿宋" w:eastAsia="仿宋" w:cs="宋体"/>
          <w:kern w:val="0"/>
          <w:sz w:val="22"/>
          <w:szCs w:val="21"/>
          <w:shd w:val="clear" w:color="auto" w:fill="FFFFFF"/>
        </w:rPr>
      </w:pPr>
      <w:r>
        <w:rPr>
          <w:rFonts w:ascii="仿宋" w:hAnsi="仿宋" w:eastAsia="仿宋"/>
          <w:sz w:val="22"/>
          <w:szCs w:val="21"/>
          <w:shd w:val="clear" w:color="auto" w:fill="FFFFFF"/>
        </w:rPr>
        <w:br w:type="page"/>
      </w:r>
    </w:p>
    <w:p>
      <w:pPr>
        <w:pStyle w:val="28"/>
        <w:spacing w:before="321" w:after="321"/>
        <w:rPr>
          <w:shd w:val="clear" w:color="auto" w:fill="FFFFFF"/>
        </w:rPr>
      </w:pPr>
      <w:r>
        <w:rPr>
          <w:rFonts w:hint="eastAsia"/>
          <w:shd w:val="clear" w:color="auto" w:fill="FFFFFF"/>
        </w:rPr>
        <w:t>评分标准</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347"/>
        <w:gridCol w:w="791"/>
        <w:gridCol w:w="6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shd w:val="clear" w:color="auto" w:fill="E6E0EC"/>
            <w:vAlign w:val="center"/>
          </w:tcPr>
          <w:p>
            <w:pPr>
              <w:pStyle w:val="25"/>
              <w:spacing w:before="32" w:after="32"/>
              <w:jc w:val="center"/>
              <w:rPr>
                <w:b/>
                <w:bCs/>
                <w:shd w:val="clear" w:color="auto" w:fill="FFFFFF"/>
              </w:rPr>
            </w:pPr>
            <w:r>
              <w:rPr>
                <w:rFonts w:hint="eastAsia"/>
                <w:b/>
                <w:bCs/>
                <w:shd w:val="clear" w:color="auto" w:fill="FFFFFF"/>
              </w:rPr>
              <w:t>评审项目</w:t>
            </w:r>
          </w:p>
        </w:tc>
        <w:tc>
          <w:tcPr>
            <w:tcW w:w="676" w:type="pct"/>
            <w:shd w:val="clear" w:color="auto" w:fill="E6E0EC"/>
            <w:vAlign w:val="center"/>
          </w:tcPr>
          <w:p>
            <w:pPr>
              <w:pStyle w:val="25"/>
              <w:spacing w:before="32" w:after="32"/>
              <w:jc w:val="center"/>
              <w:rPr>
                <w:b/>
                <w:bCs/>
                <w:shd w:val="clear" w:color="auto" w:fill="FFFFFF"/>
              </w:rPr>
            </w:pPr>
            <w:r>
              <w:rPr>
                <w:rFonts w:hint="eastAsia"/>
                <w:b/>
                <w:bCs/>
                <w:shd w:val="clear" w:color="auto" w:fill="FFFFFF"/>
              </w:rPr>
              <w:t>评标分项</w:t>
            </w:r>
          </w:p>
        </w:tc>
        <w:tc>
          <w:tcPr>
            <w:tcW w:w="397" w:type="pct"/>
            <w:shd w:val="clear" w:color="auto" w:fill="E6E0EC"/>
            <w:vAlign w:val="center"/>
          </w:tcPr>
          <w:p>
            <w:pPr>
              <w:pStyle w:val="25"/>
              <w:spacing w:before="32" w:after="32"/>
              <w:jc w:val="center"/>
              <w:rPr>
                <w:b/>
                <w:bCs/>
                <w:shd w:val="clear" w:color="auto" w:fill="FFFFFF"/>
              </w:rPr>
            </w:pPr>
            <w:r>
              <w:rPr>
                <w:rFonts w:hint="eastAsia"/>
                <w:b/>
                <w:bCs/>
                <w:shd w:val="clear" w:color="auto" w:fill="FFFFFF"/>
              </w:rPr>
              <w:t>分值</w:t>
            </w:r>
          </w:p>
        </w:tc>
        <w:tc>
          <w:tcPr>
            <w:tcW w:w="3249" w:type="pct"/>
            <w:shd w:val="clear" w:color="auto" w:fill="E6E0EC"/>
            <w:vAlign w:val="center"/>
          </w:tcPr>
          <w:p>
            <w:pPr>
              <w:pStyle w:val="25"/>
              <w:spacing w:before="32" w:after="32"/>
              <w:jc w:val="center"/>
              <w:rPr>
                <w:b/>
                <w:bCs/>
                <w:shd w:val="clear" w:color="auto" w:fill="FFFFFF"/>
              </w:rPr>
            </w:pPr>
            <w:r>
              <w:rPr>
                <w:rFonts w:hint="eastAsia"/>
                <w:b/>
                <w:bCs/>
                <w:shd w:val="clear" w:color="auto" w:fill="FFFFFF"/>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shd w:val="clear" w:color="auto" w:fill="auto"/>
            <w:vAlign w:val="center"/>
          </w:tcPr>
          <w:p>
            <w:pPr>
              <w:pStyle w:val="25"/>
              <w:spacing w:before="32" w:after="32"/>
              <w:rPr>
                <w:b/>
                <w:bCs/>
                <w:shd w:val="clear" w:color="auto" w:fill="FFFFFF"/>
              </w:rPr>
            </w:pPr>
            <w:r>
              <w:rPr>
                <w:rFonts w:hint="eastAsia"/>
                <w:shd w:val="clear" w:color="auto" w:fill="FFFFFF"/>
              </w:rPr>
              <w:t>价格部分（</w:t>
            </w:r>
            <w:r>
              <w:rPr>
                <w:shd w:val="clear" w:color="auto" w:fill="FFFFFF"/>
              </w:rPr>
              <w:t>1</w:t>
            </w:r>
            <w:r>
              <w:rPr>
                <w:rFonts w:hint="eastAsia"/>
                <w:shd w:val="clear" w:color="auto" w:fill="FFFFFF"/>
              </w:rPr>
              <w:t>0分）</w:t>
            </w:r>
          </w:p>
        </w:tc>
        <w:tc>
          <w:tcPr>
            <w:tcW w:w="676" w:type="pct"/>
            <w:shd w:val="clear" w:color="auto" w:fill="auto"/>
            <w:vAlign w:val="center"/>
          </w:tcPr>
          <w:p>
            <w:pPr>
              <w:pStyle w:val="25"/>
              <w:spacing w:before="32" w:after="32"/>
              <w:rPr>
                <w:b/>
                <w:bCs/>
                <w:shd w:val="clear" w:color="auto" w:fill="FFFFFF"/>
              </w:rPr>
            </w:pPr>
            <w:r>
              <w:rPr>
                <w:rFonts w:hint="eastAsia"/>
                <w:shd w:val="clear" w:color="auto" w:fill="FFFFFF"/>
              </w:rPr>
              <w:t>报价得分</w:t>
            </w:r>
          </w:p>
        </w:tc>
        <w:tc>
          <w:tcPr>
            <w:tcW w:w="397" w:type="pct"/>
            <w:shd w:val="clear" w:color="auto" w:fill="auto"/>
            <w:vAlign w:val="center"/>
          </w:tcPr>
          <w:p>
            <w:pPr>
              <w:pStyle w:val="25"/>
              <w:spacing w:before="32" w:after="32"/>
              <w:rPr>
                <w:shd w:val="clear" w:color="auto" w:fill="FFFFFF"/>
              </w:rPr>
            </w:pPr>
            <w:r>
              <w:rPr>
                <w:shd w:val="clear" w:color="auto" w:fill="FFFFFF"/>
              </w:rPr>
              <w:t>1</w:t>
            </w:r>
            <w:r>
              <w:rPr>
                <w:rFonts w:hint="eastAsia"/>
                <w:shd w:val="clear" w:color="auto" w:fill="FFFFFF"/>
              </w:rPr>
              <w:t>0分</w:t>
            </w:r>
          </w:p>
        </w:tc>
        <w:tc>
          <w:tcPr>
            <w:tcW w:w="3249" w:type="pct"/>
            <w:shd w:val="clear" w:color="auto" w:fill="auto"/>
            <w:vAlign w:val="center"/>
          </w:tcPr>
          <w:p>
            <w:pPr>
              <w:pStyle w:val="25"/>
              <w:spacing w:before="32" w:after="32"/>
              <w:rPr>
                <w:b/>
                <w:bCs/>
                <w:shd w:val="clear" w:color="auto" w:fill="FFFFFF"/>
              </w:rPr>
            </w:pPr>
            <w:r>
              <w:rPr>
                <w:rFonts w:hint="eastAsia"/>
                <w:shd w:val="clear" w:color="auto" w:fill="FFFFFF"/>
              </w:rPr>
              <w:t>满足磋商文件要求且最后报价（核算后）最低的供应商的价格为磋商基准价，其价格分为满分。其他供应商的价格分计算公式：磋商报价得分=（磋商基准价 /最后磋商报价（核算后））×</w:t>
            </w:r>
            <w:r>
              <w:rPr>
                <w:shd w:val="clear" w:color="auto" w:fill="FFFFFF"/>
              </w:rPr>
              <w:t>1</w:t>
            </w:r>
            <w:r>
              <w:rPr>
                <w:rFonts w:hint="eastAsia"/>
                <w:shd w:val="clear" w:color="auto" w:fill="FFFFFF"/>
              </w:rPr>
              <w:t>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restart"/>
            <w:vAlign w:val="center"/>
          </w:tcPr>
          <w:p>
            <w:pPr>
              <w:pStyle w:val="25"/>
              <w:spacing w:before="32" w:after="32"/>
              <w:rPr>
                <w:shd w:val="clear" w:color="auto" w:fill="FFFFFF"/>
              </w:rPr>
            </w:pPr>
            <w:r>
              <w:rPr>
                <w:rFonts w:hint="eastAsia"/>
                <w:shd w:val="clear" w:color="auto" w:fill="FFFFFF"/>
              </w:rPr>
              <w:t>商务部分（4</w:t>
            </w:r>
            <w:r>
              <w:rPr>
                <w:shd w:val="clear" w:color="auto" w:fill="FFFFFF"/>
              </w:rPr>
              <w:t>5</w:t>
            </w:r>
            <w:r>
              <w:rPr>
                <w:rFonts w:hint="eastAsia"/>
                <w:shd w:val="clear" w:color="auto" w:fill="FFFFFF"/>
              </w:rPr>
              <w:t>分）</w:t>
            </w:r>
          </w:p>
        </w:tc>
        <w:tc>
          <w:tcPr>
            <w:tcW w:w="676" w:type="pct"/>
            <w:vAlign w:val="center"/>
          </w:tcPr>
          <w:p>
            <w:pPr>
              <w:pStyle w:val="25"/>
              <w:spacing w:before="32" w:after="32"/>
              <w:rPr>
                <w:shd w:val="clear" w:color="auto" w:fill="FFFFFF"/>
              </w:rPr>
            </w:pPr>
            <w:r>
              <w:rPr>
                <w:rFonts w:hint="eastAsia"/>
                <w:shd w:val="clear" w:color="auto" w:fill="FFFFFF"/>
              </w:rPr>
              <w:t>业绩要求</w:t>
            </w:r>
          </w:p>
        </w:tc>
        <w:tc>
          <w:tcPr>
            <w:tcW w:w="397" w:type="pct"/>
            <w:vAlign w:val="center"/>
          </w:tcPr>
          <w:p>
            <w:pPr>
              <w:pStyle w:val="25"/>
              <w:spacing w:before="32" w:after="32"/>
              <w:rPr>
                <w:shd w:val="clear" w:color="auto" w:fill="FFFFFF"/>
              </w:rPr>
            </w:pPr>
            <w:r>
              <w:rPr>
                <w:rFonts w:hint="eastAsia"/>
                <w:shd w:val="clear" w:color="auto" w:fill="FFFFFF"/>
              </w:rPr>
              <w:t>10分</w:t>
            </w:r>
          </w:p>
        </w:tc>
        <w:tc>
          <w:tcPr>
            <w:tcW w:w="3249" w:type="pct"/>
            <w:vAlign w:val="center"/>
          </w:tcPr>
          <w:p>
            <w:pPr>
              <w:pStyle w:val="25"/>
              <w:spacing w:before="32" w:after="32"/>
              <w:rPr>
                <w:shd w:val="clear" w:color="auto" w:fill="FFFFFF"/>
              </w:rPr>
            </w:pPr>
            <w:r>
              <w:rPr>
                <w:rFonts w:hint="eastAsia"/>
                <w:shd w:val="clear" w:color="auto" w:fill="FFFFFF"/>
              </w:rPr>
              <w:t>投标人承接202</w:t>
            </w:r>
            <w:r>
              <w:rPr>
                <w:shd w:val="clear" w:color="auto" w:fill="FFFFFF"/>
              </w:rPr>
              <w:t>1</w:t>
            </w:r>
            <w:r>
              <w:rPr>
                <w:rFonts w:hint="eastAsia"/>
                <w:shd w:val="clear" w:color="auto" w:fill="FFFFFF"/>
              </w:rPr>
              <w:t>年以来同类客户同类项目的数量，每1家得0.5分，最高10分。（合同为数字化病案合同，合同正文必须体现纸质数字化病案内容，并提供项目合同签字盖章页复印件，原件备查。）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Align w:val="center"/>
          </w:tcPr>
          <w:p>
            <w:pPr>
              <w:pStyle w:val="25"/>
              <w:spacing w:before="32" w:after="32"/>
              <w:rPr>
                <w:shd w:val="clear" w:color="auto" w:fill="FFFFFF"/>
              </w:rPr>
            </w:pPr>
            <w:r>
              <w:rPr>
                <w:rFonts w:hint="eastAsia"/>
                <w:shd w:val="clear" w:color="auto" w:fill="FFFFFF"/>
              </w:rPr>
              <w:t>高新技术转化</w:t>
            </w:r>
          </w:p>
        </w:tc>
        <w:tc>
          <w:tcPr>
            <w:tcW w:w="397" w:type="pct"/>
            <w:vAlign w:val="center"/>
          </w:tcPr>
          <w:p>
            <w:pPr>
              <w:pStyle w:val="25"/>
              <w:spacing w:before="32" w:after="32"/>
              <w:rPr>
                <w:shd w:val="clear" w:color="auto" w:fill="FFFFFF"/>
              </w:rPr>
            </w:pPr>
            <w:r>
              <w:rPr>
                <w:rFonts w:hint="eastAsia"/>
                <w:shd w:val="clear" w:color="auto" w:fill="FFFFFF"/>
              </w:rPr>
              <w:t>10分</w:t>
            </w:r>
          </w:p>
        </w:tc>
        <w:tc>
          <w:tcPr>
            <w:tcW w:w="3249" w:type="pct"/>
            <w:vAlign w:val="center"/>
          </w:tcPr>
          <w:p>
            <w:pPr>
              <w:pStyle w:val="25"/>
              <w:spacing w:before="32" w:after="32"/>
              <w:rPr>
                <w:shd w:val="clear" w:color="auto" w:fill="FFFFFF"/>
              </w:rPr>
            </w:pPr>
            <w:r>
              <w:rPr>
                <w:rFonts w:hint="eastAsia"/>
                <w:shd w:val="clear" w:color="auto" w:fill="FFFFFF"/>
              </w:rPr>
              <w:t>供应商获得过省级及以上高新技术成果转化项目证书得</w:t>
            </w:r>
            <w:r>
              <w:rPr>
                <w:shd w:val="clear" w:color="auto" w:fill="FFFFFF"/>
              </w:rPr>
              <w:t>10</w:t>
            </w:r>
            <w:r>
              <w:rPr>
                <w:rFonts w:hint="eastAsia"/>
                <w:shd w:val="clear" w:color="auto" w:fill="FFFFFF"/>
              </w:rPr>
              <w:t>分；获得过市级高新技术成果转化项目证书得5分；（提供证书复印件并加盖公章，否则不得分）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Align w:val="center"/>
          </w:tcPr>
          <w:p>
            <w:pPr>
              <w:pStyle w:val="25"/>
              <w:spacing w:before="32" w:after="32"/>
              <w:rPr>
                <w:shd w:val="clear" w:color="auto" w:fill="FFFFFF"/>
              </w:rPr>
            </w:pPr>
            <w:r>
              <w:rPr>
                <w:rFonts w:hint="eastAsia"/>
                <w:shd w:val="clear" w:color="auto" w:fill="FFFFFF"/>
              </w:rPr>
              <w:t>项目管理</w:t>
            </w:r>
          </w:p>
        </w:tc>
        <w:tc>
          <w:tcPr>
            <w:tcW w:w="397" w:type="pct"/>
            <w:vAlign w:val="center"/>
          </w:tcPr>
          <w:p>
            <w:pPr>
              <w:pStyle w:val="25"/>
              <w:spacing w:before="32" w:after="32"/>
              <w:rPr>
                <w:shd w:val="clear" w:color="auto" w:fill="FFFFFF"/>
              </w:rPr>
            </w:pPr>
            <w:r>
              <w:rPr>
                <w:rFonts w:hint="eastAsia"/>
                <w:shd w:val="clear" w:color="auto" w:fill="FFFFFF"/>
              </w:rPr>
              <w:t>5分</w:t>
            </w:r>
          </w:p>
        </w:tc>
        <w:tc>
          <w:tcPr>
            <w:tcW w:w="3249" w:type="pct"/>
            <w:vAlign w:val="center"/>
          </w:tcPr>
          <w:p>
            <w:pPr>
              <w:pStyle w:val="25"/>
              <w:spacing w:before="32" w:after="32"/>
              <w:rPr>
                <w:shd w:val="clear" w:color="auto" w:fill="FFFFFF"/>
              </w:rPr>
            </w:pPr>
            <w:r>
              <w:rPr>
                <w:rFonts w:hint="eastAsia"/>
                <w:shd w:val="clear" w:color="auto" w:fill="FFFFFF"/>
              </w:rPr>
              <w:t>供应商拟派项目团队负责人须为投标人正式聘用人员（须提供该项目负责人在本单位总部所在地的社保证明或个人缴税证明，须有总部所在地相关主管部门盖章，打印日期须在本项目投标截止日之前三个月以内</w:t>
            </w:r>
            <w:r>
              <w:rPr>
                <w:shd w:val="clear" w:color="auto" w:fill="FFFFFF"/>
              </w:rPr>
              <w:t>)</w:t>
            </w:r>
            <w:r>
              <w:rPr>
                <w:rFonts w:hint="eastAsia"/>
                <w:shd w:val="clear" w:color="auto" w:fill="FFFFFF"/>
              </w:rPr>
              <w:t>，并符合下列要求的得</w:t>
            </w:r>
            <w:r>
              <w:rPr>
                <w:shd w:val="clear" w:color="auto" w:fill="FFFFFF"/>
              </w:rPr>
              <w:t>5</w:t>
            </w:r>
            <w:r>
              <w:rPr>
                <w:rFonts w:hint="eastAsia"/>
                <w:shd w:val="clear" w:color="auto" w:fill="FFFFFF"/>
              </w:rPr>
              <w:t>分，否则不得分：</w:t>
            </w:r>
          </w:p>
          <w:p>
            <w:pPr>
              <w:pStyle w:val="25"/>
              <w:spacing w:before="32" w:after="32"/>
              <w:rPr>
                <w:shd w:val="clear" w:color="auto" w:fill="FFFFFF"/>
              </w:rPr>
            </w:pPr>
            <w:r>
              <w:rPr>
                <w:shd w:val="clear" w:color="auto" w:fill="FFFFFF"/>
              </w:rPr>
              <w:t>1.PMP</w:t>
            </w:r>
            <w:r>
              <w:rPr>
                <w:rFonts w:hint="eastAsia"/>
                <w:shd w:val="clear" w:color="auto" w:fill="FFFFFF"/>
              </w:rPr>
              <w:t>证书</w:t>
            </w:r>
          </w:p>
          <w:p>
            <w:pPr>
              <w:pStyle w:val="25"/>
              <w:spacing w:before="32" w:after="32"/>
              <w:rPr>
                <w:shd w:val="clear" w:color="auto" w:fill="FFFFFF"/>
              </w:rPr>
            </w:pPr>
            <w:r>
              <w:rPr>
                <w:shd w:val="clear" w:color="auto" w:fill="FFFFFF"/>
              </w:rPr>
              <w:t>2.</w:t>
            </w:r>
            <w:r>
              <w:rPr>
                <w:rFonts w:hint="eastAsia"/>
                <w:shd w:val="clear" w:color="auto" w:fill="FFFFFF"/>
              </w:rPr>
              <w:t>有</w:t>
            </w:r>
            <w:r>
              <w:rPr>
                <w:shd w:val="clear" w:color="auto" w:fill="FFFFFF"/>
              </w:rPr>
              <w:t>10</w:t>
            </w:r>
            <w:r>
              <w:rPr>
                <w:rFonts w:hint="eastAsia"/>
                <w:shd w:val="clear" w:color="auto" w:fill="FFFFFF"/>
              </w:rPr>
              <w:t>年或以上工作经验</w:t>
            </w:r>
            <w:r>
              <w:rPr>
                <w:shd w:val="clear" w:color="auto" w:fill="FFFFFF"/>
              </w:rPr>
              <w:t>(</w:t>
            </w:r>
            <w:r>
              <w:rPr>
                <w:rFonts w:hint="eastAsia"/>
                <w:shd w:val="clear" w:color="auto" w:fill="FFFFFF"/>
              </w:rPr>
              <w:t>从学历证明日期起视为参加工作</w:t>
            </w:r>
            <w:r>
              <w:rPr>
                <w:shd w:val="clear" w:color="auto" w:fill="FFFFFF"/>
              </w:rPr>
              <w:t>)</w:t>
            </w:r>
            <w:r>
              <w:rPr>
                <w:rFonts w:hint="eastAsia"/>
                <w:shd w:val="clear" w:color="auto" w:fill="FFFFFF"/>
              </w:rPr>
              <w:t>。</w:t>
            </w:r>
          </w:p>
          <w:p>
            <w:pPr>
              <w:pStyle w:val="25"/>
              <w:spacing w:before="32" w:after="32"/>
              <w:rPr>
                <w:shd w:val="clear" w:color="auto" w:fill="FFFFFF"/>
              </w:rPr>
            </w:pPr>
            <w:r>
              <w:rPr>
                <w:rFonts w:hint="eastAsia"/>
                <w:shd w:val="clear" w:color="auto" w:fill="FFFFFF"/>
              </w:rPr>
              <w:t>响应文件中须附证书复印件并加盖企业公章。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restart"/>
            <w:vAlign w:val="center"/>
          </w:tcPr>
          <w:p>
            <w:pPr>
              <w:pStyle w:val="25"/>
              <w:spacing w:before="32" w:after="32"/>
              <w:rPr>
                <w:shd w:val="clear" w:color="auto" w:fill="FFFFFF"/>
              </w:rPr>
            </w:pPr>
            <w:r>
              <w:rPr>
                <w:rFonts w:hint="eastAsia"/>
                <w:shd w:val="clear" w:color="auto" w:fill="FFFFFF"/>
              </w:rPr>
              <w:t>质量认证</w:t>
            </w:r>
          </w:p>
        </w:tc>
        <w:tc>
          <w:tcPr>
            <w:tcW w:w="397" w:type="pct"/>
            <w:vAlign w:val="center"/>
          </w:tcPr>
          <w:p>
            <w:pPr>
              <w:pStyle w:val="25"/>
              <w:spacing w:before="32" w:after="32"/>
              <w:rPr>
                <w:shd w:val="clear" w:color="auto" w:fill="FFFFFF"/>
              </w:rPr>
            </w:pPr>
            <w:r>
              <w:rPr>
                <w:shd w:val="clear" w:color="auto" w:fill="FFFFFF"/>
              </w:rPr>
              <w:t>3</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供应商具有知识产权管理体系认证证书得</w:t>
            </w:r>
            <w:r>
              <w:rPr>
                <w:shd w:val="clear" w:color="auto" w:fill="FFFFFF"/>
              </w:rPr>
              <w:t>3</w:t>
            </w:r>
            <w:r>
              <w:rPr>
                <w:rFonts w:hint="eastAsia"/>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continue"/>
            <w:vAlign w:val="center"/>
          </w:tcPr>
          <w:p>
            <w:pPr>
              <w:pStyle w:val="25"/>
              <w:spacing w:before="32" w:after="32"/>
              <w:rPr>
                <w:shd w:val="clear" w:color="auto" w:fill="FFFFFF"/>
              </w:rPr>
            </w:pPr>
          </w:p>
        </w:tc>
        <w:tc>
          <w:tcPr>
            <w:tcW w:w="397" w:type="pct"/>
            <w:vAlign w:val="center"/>
          </w:tcPr>
          <w:p>
            <w:pPr>
              <w:pStyle w:val="25"/>
              <w:spacing w:before="32" w:after="32"/>
              <w:rPr>
                <w:shd w:val="clear" w:color="auto" w:fill="FFFFFF"/>
              </w:rPr>
            </w:pPr>
            <w:r>
              <w:rPr>
                <w:rFonts w:hint="eastAsia"/>
                <w:shd w:val="clear" w:color="auto" w:fill="FFFFFF"/>
              </w:rPr>
              <w:t>5分</w:t>
            </w:r>
          </w:p>
        </w:tc>
        <w:tc>
          <w:tcPr>
            <w:tcW w:w="3249" w:type="pct"/>
            <w:vAlign w:val="center"/>
          </w:tcPr>
          <w:p>
            <w:pPr>
              <w:pStyle w:val="25"/>
              <w:spacing w:before="32" w:after="32"/>
              <w:rPr>
                <w:shd w:val="clear" w:color="auto" w:fill="FFFFFF"/>
              </w:rPr>
            </w:pPr>
            <w:r>
              <w:rPr>
                <w:rFonts w:hint="eastAsia"/>
                <w:shd w:val="clear" w:color="auto" w:fill="FFFFFF"/>
              </w:rPr>
              <w:t>供应商具有</w:t>
            </w:r>
            <w:r>
              <w:rPr>
                <w:shd w:val="clear" w:color="auto" w:fill="FFFFFF"/>
              </w:rPr>
              <w:t>CMMI</w:t>
            </w:r>
            <w:r>
              <w:rPr>
                <w:rFonts w:hint="eastAsia"/>
                <w:shd w:val="clear" w:color="auto" w:fill="FFFFFF"/>
              </w:rPr>
              <w:t>五级证书得</w:t>
            </w:r>
            <w:r>
              <w:rPr>
                <w:shd w:val="clear" w:color="auto" w:fill="FFFFFF"/>
              </w:rPr>
              <w:t>5</w:t>
            </w:r>
            <w:r>
              <w:rPr>
                <w:rFonts w:hint="eastAsia"/>
                <w:shd w:val="clear" w:color="auto" w:fill="FFFFFF"/>
              </w:rPr>
              <w:t>分，四级得</w:t>
            </w:r>
            <w:r>
              <w:rPr>
                <w:shd w:val="clear" w:color="auto" w:fill="FFFFFF"/>
              </w:rPr>
              <w:t>2</w:t>
            </w:r>
            <w:r>
              <w:rPr>
                <w:rFonts w:hint="eastAsia"/>
                <w:shd w:val="clear" w:color="auto" w:fill="FFFFFF"/>
              </w:rPr>
              <w:t>分，三级得</w:t>
            </w:r>
            <w:r>
              <w:rPr>
                <w:shd w:val="clear" w:color="auto" w:fill="FFFFFF"/>
              </w:rPr>
              <w:t>1</w:t>
            </w:r>
            <w:r>
              <w:rPr>
                <w:rFonts w:hint="eastAsia"/>
                <w:shd w:val="clear" w:color="auto" w:fill="FFFFFF"/>
              </w:rPr>
              <w:t>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continue"/>
            <w:vAlign w:val="center"/>
          </w:tcPr>
          <w:p>
            <w:pPr>
              <w:pStyle w:val="25"/>
              <w:spacing w:before="32" w:after="32"/>
              <w:rPr>
                <w:shd w:val="clear" w:color="auto" w:fill="FFFFFF"/>
              </w:rPr>
            </w:pPr>
          </w:p>
        </w:tc>
        <w:tc>
          <w:tcPr>
            <w:tcW w:w="397" w:type="pct"/>
            <w:vAlign w:val="center"/>
          </w:tcPr>
          <w:p>
            <w:pPr>
              <w:pStyle w:val="25"/>
              <w:spacing w:before="32" w:after="32"/>
              <w:rPr>
                <w:shd w:val="clear" w:color="auto" w:fill="FFFFFF"/>
              </w:rPr>
            </w:pPr>
            <w:r>
              <w:rPr>
                <w:shd w:val="clear" w:color="auto" w:fill="FFFFFF"/>
              </w:rPr>
              <w:t>4</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供应商具有ISO9001质量管理体系认证证书；具有ISO/IEC27001信息安全管理体系认证证书；具有ISO/IEC2000信息技术服务管理体系认证证书；具有ISO14001环境管理体系认证证书，同时具有以上四项证书的得</w:t>
            </w:r>
            <w:r>
              <w:rPr>
                <w:shd w:val="clear" w:color="auto" w:fill="FFFFFF"/>
              </w:rPr>
              <w:t>4</w:t>
            </w:r>
            <w:r>
              <w:rPr>
                <w:rFonts w:hint="eastAsia"/>
                <w:shd w:val="clear" w:color="auto" w:fill="FFFFFF"/>
              </w:rPr>
              <w:t>分，每少一项扣1分，扣完为止。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continue"/>
            <w:vAlign w:val="center"/>
          </w:tcPr>
          <w:p>
            <w:pPr>
              <w:pStyle w:val="25"/>
              <w:spacing w:before="32" w:after="32"/>
              <w:rPr>
                <w:shd w:val="clear" w:color="auto" w:fill="FFFFFF"/>
              </w:rPr>
            </w:pPr>
          </w:p>
        </w:tc>
        <w:tc>
          <w:tcPr>
            <w:tcW w:w="397" w:type="pct"/>
            <w:vAlign w:val="center"/>
          </w:tcPr>
          <w:p>
            <w:pPr>
              <w:pStyle w:val="25"/>
              <w:spacing w:before="32" w:after="32"/>
              <w:rPr>
                <w:shd w:val="clear" w:color="auto" w:fill="FFFFFF"/>
              </w:rPr>
            </w:pPr>
            <w:r>
              <w:rPr>
                <w:shd w:val="clear" w:color="auto" w:fill="FFFFFF"/>
              </w:rPr>
              <w:t>3</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供应商具有软件企业认定证书的，得1分；具有高新企业证书的，得</w:t>
            </w:r>
            <w:r>
              <w:rPr>
                <w:shd w:val="clear" w:color="auto" w:fill="FFFFFF"/>
              </w:rPr>
              <w:t>2</w:t>
            </w:r>
            <w:r>
              <w:rPr>
                <w:rFonts w:hint="eastAsia"/>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continue"/>
            <w:vAlign w:val="center"/>
          </w:tcPr>
          <w:p>
            <w:pPr>
              <w:pStyle w:val="25"/>
              <w:spacing w:before="32" w:after="32"/>
              <w:rPr>
                <w:shd w:val="clear" w:color="auto" w:fill="FFFFFF"/>
              </w:rPr>
            </w:pPr>
          </w:p>
        </w:tc>
        <w:tc>
          <w:tcPr>
            <w:tcW w:w="397" w:type="pct"/>
            <w:vAlign w:val="center"/>
          </w:tcPr>
          <w:p>
            <w:pPr>
              <w:pStyle w:val="25"/>
              <w:spacing w:before="32" w:after="32"/>
              <w:rPr>
                <w:shd w:val="clear" w:color="auto" w:fill="FFFFFF"/>
              </w:rPr>
            </w:pPr>
            <w:r>
              <w:rPr>
                <w:shd w:val="clear" w:color="auto" w:fill="FFFFFF"/>
              </w:rPr>
              <w:t>5</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供应商具有</w:t>
            </w:r>
            <w:r>
              <w:rPr>
                <w:rFonts w:hint="eastAsia"/>
              </w:rPr>
              <w:t>备省级或以上“专精特新”中小企业认证得</w:t>
            </w:r>
            <w:r>
              <w:t>5</w:t>
            </w:r>
            <w:r>
              <w:rPr>
                <w:rFonts w:hint="eastAsia"/>
              </w:rPr>
              <w:t>分，具备市级“专精特新”中小企业认证得</w:t>
            </w:r>
            <w:r>
              <w:t>2</w:t>
            </w:r>
            <w:r>
              <w:rPr>
                <w:rFonts w:hint="eastAsia"/>
              </w:rPr>
              <w:t>分，不符合得0分，提供证书复印件。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restart"/>
            <w:vAlign w:val="center"/>
          </w:tcPr>
          <w:p>
            <w:pPr>
              <w:pStyle w:val="25"/>
              <w:spacing w:before="32" w:after="32"/>
              <w:rPr>
                <w:shd w:val="clear" w:color="auto" w:fill="FFFFFF"/>
              </w:rPr>
            </w:pPr>
            <w:r>
              <w:rPr>
                <w:rFonts w:hint="eastAsia"/>
                <w:shd w:val="clear" w:color="auto" w:fill="FFFFFF"/>
              </w:rPr>
              <w:t>技术部分（4</w:t>
            </w:r>
            <w:r>
              <w:rPr>
                <w:shd w:val="clear" w:color="auto" w:fill="FFFFFF"/>
              </w:rPr>
              <w:t>5</w:t>
            </w:r>
            <w:r>
              <w:rPr>
                <w:rFonts w:hint="eastAsia"/>
                <w:shd w:val="clear" w:color="auto" w:fill="FFFFFF"/>
              </w:rPr>
              <w:t>分）</w:t>
            </w:r>
          </w:p>
        </w:tc>
        <w:tc>
          <w:tcPr>
            <w:tcW w:w="676" w:type="pct"/>
            <w:vAlign w:val="center"/>
          </w:tcPr>
          <w:p>
            <w:pPr>
              <w:pStyle w:val="25"/>
              <w:spacing w:before="32" w:after="32"/>
              <w:rPr>
                <w:shd w:val="clear" w:color="auto" w:fill="FFFFFF"/>
              </w:rPr>
            </w:pPr>
            <w:r>
              <w:rPr>
                <w:rFonts w:hint="eastAsia"/>
                <w:shd w:val="clear" w:color="auto" w:fill="FFFFFF"/>
              </w:rPr>
              <w:t>项目实施计划</w:t>
            </w:r>
          </w:p>
        </w:tc>
        <w:tc>
          <w:tcPr>
            <w:tcW w:w="397" w:type="pct"/>
            <w:vAlign w:val="center"/>
          </w:tcPr>
          <w:p>
            <w:pPr>
              <w:pStyle w:val="25"/>
              <w:spacing w:before="32" w:after="32"/>
              <w:rPr>
                <w:shd w:val="clear" w:color="auto" w:fill="FFFFFF"/>
              </w:rPr>
            </w:pPr>
            <w:r>
              <w:rPr>
                <w:shd w:val="clear" w:color="auto" w:fill="FFFFFF"/>
              </w:rPr>
              <w:t>5</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根据供应商项目实施计划安排合理，实施人员配备合理、实施计划内容完整、针对性强得3分；实施计划内容有瑕疵、实施人员配备满足项目需求得1分；未提供不得分。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Align w:val="center"/>
          </w:tcPr>
          <w:p>
            <w:pPr>
              <w:pStyle w:val="25"/>
              <w:spacing w:before="32" w:after="32"/>
              <w:rPr>
                <w:shd w:val="clear" w:color="auto" w:fill="FFFFFF"/>
              </w:rPr>
            </w:pPr>
            <w:r>
              <w:rPr>
                <w:rFonts w:hint="eastAsia"/>
                <w:shd w:val="clear" w:color="auto" w:fill="FFFFFF"/>
              </w:rPr>
              <w:t>产品整体性能</w:t>
            </w:r>
          </w:p>
        </w:tc>
        <w:tc>
          <w:tcPr>
            <w:tcW w:w="397" w:type="pct"/>
            <w:vAlign w:val="center"/>
          </w:tcPr>
          <w:p>
            <w:pPr>
              <w:pStyle w:val="25"/>
              <w:spacing w:before="32" w:after="32"/>
              <w:rPr>
                <w:shd w:val="clear" w:color="auto" w:fill="FFFFFF"/>
              </w:rPr>
            </w:pPr>
            <w:r>
              <w:rPr>
                <w:rFonts w:hint="eastAsia"/>
                <w:shd w:val="clear" w:color="auto" w:fill="FFFFFF"/>
              </w:rPr>
              <w:t>10分</w:t>
            </w:r>
          </w:p>
        </w:tc>
        <w:tc>
          <w:tcPr>
            <w:tcW w:w="3249" w:type="pct"/>
            <w:vAlign w:val="center"/>
          </w:tcPr>
          <w:p>
            <w:pPr>
              <w:pStyle w:val="25"/>
              <w:spacing w:before="32" w:after="32"/>
              <w:rPr>
                <w:shd w:val="clear" w:color="auto" w:fill="FFFFFF"/>
              </w:rPr>
            </w:pPr>
            <w:r>
              <w:rPr>
                <w:rFonts w:hint="eastAsia"/>
                <w:shd w:val="clear" w:color="auto" w:fill="FFFFFF"/>
              </w:rPr>
              <w:t>根据供应商所投项目相关软硬件产品整体性能指标的适配性、产品拓展性（如权限管理模块、检索模块、打印模块等）进行分析比较、评议、综合评审：</w:t>
            </w:r>
          </w:p>
          <w:p>
            <w:pPr>
              <w:pStyle w:val="25"/>
              <w:numPr>
                <w:ilvl w:val="0"/>
                <w:numId w:val="9"/>
              </w:numPr>
              <w:spacing w:before="32" w:after="32"/>
              <w:rPr>
                <w:shd w:val="clear" w:color="auto" w:fill="FFFFFF"/>
              </w:rPr>
            </w:pPr>
            <w:r>
              <w:rPr>
                <w:rFonts w:hint="eastAsia"/>
                <w:shd w:val="clear" w:color="auto" w:fill="FFFFFF"/>
              </w:rPr>
              <w:t>相关软硬件产品整体性能适配性强、扩展模块齐全、功能性强的得10分；</w:t>
            </w:r>
          </w:p>
          <w:p>
            <w:pPr>
              <w:pStyle w:val="25"/>
              <w:numPr>
                <w:ilvl w:val="0"/>
                <w:numId w:val="9"/>
              </w:numPr>
              <w:spacing w:before="32" w:after="32"/>
              <w:rPr>
                <w:shd w:val="clear" w:color="auto" w:fill="FFFFFF"/>
              </w:rPr>
            </w:pPr>
            <w:r>
              <w:rPr>
                <w:rFonts w:hint="eastAsia"/>
                <w:shd w:val="clear" w:color="auto" w:fill="FFFFFF"/>
              </w:rPr>
              <w:t>相关软硬件产品整体性能适配性一般、扩展模块功的能性能满足项目基本需求的得6分；</w:t>
            </w:r>
          </w:p>
          <w:p>
            <w:pPr>
              <w:pStyle w:val="25"/>
              <w:numPr>
                <w:ilvl w:val="0"/>
                <w:numId w:val="9"/>
              </w:numPr>
              <w:spacing w:before="32" w:after="32"/>
              <w:rPr>
                <w:shd w:val="clear" w:color="auto" w:fill="FFFFFF"/>
              </w:rPr>
            </w:pPr>
            <w:r>
              <w:rPr>
                <w:rFonts w:hint="eastAsia"/>
                <w:shd w:val="clear" w:color="auto" w:fill="FFFFFF"/>
              </w:rPr>
              <w:t>相关软硬件产品整体性能适配性较差、扩展模块功的能性仅部分满足项目需求得2分；</w:t>
            </w:r>
          </w:p>
          <w:p>
            <w:pPr>
              <w:pStyle w:val="25"/>
              <w:numPr>
                <w:ilvl w:val="0"/>
                <w:numId w:val="9"/>
              </w:numPr>
              <w:spacing w:before="32" w:after="32"/>
              <w:rPr>
                <w:shd w:val="clear" w:color="auto" w:fill="FFFFFF"/>
              </w:rPr>
            </w:pPr>
            <w:r>
              <w:rPr>
                <w:rFonts w:hint="eastAsia"/>
                <w:shd w:val="clear" w:color="auto" w:fill="FFFFFF"/>
              </w:rPr>
              <w:t>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Align w:val="center"/>
          </w:tcPr>
          <w:p>
            <w:pPr>
              <w:pStyle w:val="25"/>
              <w:spacing w:before="32" w:after="32"/>
              <w:rPr>
                <w:shd w:val="clear" w:color="auto" w:fill="FFFFFF"/>
              </w:rPr>
            </w:pPr>
            <w:r>
              <w:rPr>
                <w:rFonts w:hint="eastAsia"/>
                <w:shd w:val="clear" w:color="auto" w:fill="FFFFFF"/>
              </w:rPr>
              <w:t>数据兼容性能力</w:t>
            </w:r>
          </w:p>
        </w:tc>
        <w:tc>
          <w:tcPr>
            <w:tcW w:w="397" w:type="pct"/>
            <w:vAlign w:val="center"/>
          </w:tcPr>
          <w:p>
            <w:pPr>
              <w:pStyle w:val="25"/>
              <w:spacing w:before="32" w:after="32"/>
              <w:rPr>
                <w:shd w:val="clear" w:color="auto" w:fill="FFFFFF"/>
              </w:rPr>
            </w:pPr>
            <w:r>
              <w:rPr>
                <w:rFonts w:hint="eastAsia"/>
                <w:shd w:val="clear" w:color="auto" w:fill="FFFFFF"/>
              </w:rPr>
              <w:t>10分</w:t>
            </w:r>
          </w:p>
        </w:tc>
        <w:tc>
          <w:tcPr>
            <w:tcW w:w="3249" w:type="pct"/>
            <w:vAlign w:val="center"/>
          </w:tcPr>
          <w:p>
            <w:pPr>
              <w:pStyle w:val="25"/>
              <w:spacing w:before="32" w:after="32"/>
              <w:rPr>
                <w:shd w:val="clear" w:color="auto" w:fill="FFFFFF"/>
              </w:rPr>
            </w:pPr>
            <w:r>
              <w:rPr>
                <w:rFonts w:hint="eastAsia"/>
                <w:shd w:val="clear" w:color="auto" w:fill="FFFFFF"/>
              </w:rPr>
              <w:t>供应商能满足与现有医院病案数字化系统的数据直接无缝衔接得10分，无法实现得0分。（需提供相关承诺函，承诺函内容必须体现中标后承担所有现有数字化数据接口费用，并加盖公章。）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restart"/>
            <w:vAlign w:val="center"/>
          </w:tcPr>
          <w:p>
            <w:pPr>
              <w:pStyle w:val="25"/>
              <w:spacing w:before="32" w:after="32"/>
              <w:rPr>
                <w:shd w:val="clear" w:color="auto" w:fill="FFFFFF"/>
              </w:rPr>
            </w:pPr>
            <w:r>
              <w:rPr>
                <w:rFonts w:hint="eastAsia"/>
                <w:shd w:val="clear" w:color="auto" w:fill="FFFFFF"/>
              </w:rPr>
              <w:t>数据集成能力</w:t>
            </w:r>
          </w:p>
        </w:tc>
        <w:tc>
          <w:tcPr>
            <w:tcW w:w="397" w:type="pct"/>
            <w:vAlign w:val="center"/>
          </w:tcPr>
          <w:p>
            <w:pPr>
              <w:pStyle w:val="25"/>
              <w:spacing w:before="32" w:after="32"/>
              <w:rPr>
                <w:shd w:val="clear" w:color="auto" w:fill="FFFFFF"/>
              </w:rPr>
            </w:pPr>
            <w:r>
              <w:rPr>
                <w:shd w:val="clear" w:color="auto" w:fill="FFFFFF"/>
              </w:rPr>
              <w:t>7</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供应商承建的项目参与国家互联互通成熟度评测，且达到四级（三级）甲等及以上水平，全满足得</w:t>
            </w:r>
            <w:r>
              <w:rPr>
                <w:shd w:val="clear" w:color="auto" w:fill="FFFFFF"/>
              </w:rPr>
              <w:t>7</w:t>
            </w:r>
            <w:r>
              <w:rPr>
                <w:rFonts w:hint="eastAsia"/>
                <w:shd w:val="clear" w:color="auto" w:fill="FFFFFF"/>
              </w:rPr>
              <w:t>分，否则不得分。（需提供国家卫计委针对该医院的授牌及供应商与该医院的项目合同。）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Merge w:val="continue"/>
            <w:vAlign w:val="center"/>
          </w:tcPr>
          <w:p>
            <w:pPr>
              <w:pStyle w:val="25"/>
              <w:numPr>
                <w:ilvl w:val="0"/>
                <w:numId w:val="1"/>
              </w:numPr>
              <w:spacing w:before="32" w:after="32"/>
              <w:rPr>
                <w:shd w:val="clear" w:color="auto" w:fill="FFFFFF"/>
              </w:rPr>
            </w:pPr>
          </w:p>
        </w:tc>
        <w:tc>
          <w:tcPr>
            <w:tcW w:w="397" w:type="pct"/>
            <w:vAlign w:val="center"/>
          </w:tcPr>
          <w:p>
            <w:pPr>
              <w:pStyle w:val="25"/>
              <w:spacing w:before="32" w:after="32"/>
              <w:rPr>
                <w:shd w:val="clear" w:color="auto" w:fill="FFFFFF"/>
              </w:rPr>
            </w:pPr>
            <w:r>
              <w:rPr>
                <w:shd w:val="clear" w:color="auto" w:fill="FFFFFF"/>
              </w:rPr>
              <w:t>7</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供应商数据集成产品通过中国软件评测中心关于医院信息互联互通标准化成熟度测评产品测试认证得</w:t>
            </w:r>
            <w:r>
              <w:rPr>
                <w:shd w:val="clear" w:color="auto" w:fill="FFFFFF"/>
              </w:rPr>
              <w:t>7</w:t>
            </w:r>
            <w:r>
              <w:rPr>
                <w:rFonts w:hint="eastAsia"/>
                <w:shd w:val="clear" w:color="auto" w:fill="FFFFFF"/>
              </w:rPr>
              <w:t>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pct"/>
            <w:vMerge w:val="continue"/>
            <w:vAlign w:val="center"/>
          </w:tcPr>
          <w:p>
            <w:pPr>
              <w:pStyle w:val="25"/>
              <w:spacing w:before="32" w:after="32"/>
              <w:rPr>
                <w:shd w:val="clear" w:color="auto" w:fill="FFFFFF"/>
              </w:rPr>
            </w:pPr>
          </w:p>
        </w:tc>
        <w:tc>
          <w:tcPr>
            <w:tcW w:w="676" w:type="pct"/>
            <w:vAlign w:val="center"/>
          </w:tcPr>
          <w:p>
            <w:pPr>
              <w:pStyle w:val="25"/>
              <w:spacing w:before="32" w:after="32"/>
              <w:rPr>
                <w:shd w:val="clear" w:color="auto" w:fill="FFFFFF"/>
              </w:rPr>
            </w:pPr>
            <w:r>
              <w:rPr>
                <w:rFonts w:hint="eastAsia"/>
                <w:shd w:val="clear" w:color="auto" w:fill="FFFFFF"/>
              </w:rPr>
              <w:t>售后服务能力</w:t>
            </w:r>
          </w:p>
        </w:tc>
        <w:tc>
          <w:tcPr>
            <w:tcW w:w="397" w:type="pct"/>
            <w:vAlign w:val="center"/>
          </w:tcPr>
          <w:p>
            <w:pPr>
              <w:pStyle w:val="25"/>
              <w:spacing w:before="32" w:after="32"/>
              <w:rPr>
                <w:shd w:val="clear" w:color="auto" w:fill="FFFFFF"/>
              </w:rPr>
            </w:pPr>
            <w:r>
              <w:rPr>
                <w:shd w:val="clear" w:color="auto" w:fill="FFFFFF"/>
              </w:rPr>
              <w:t>6</w:t>
            </w:r>
            <w:r>
              <w:rPr>
                <w:rFonts w:hint="eastAsia"/>
                <w:shd w:val="clear" w:color="auto" w:fill="FFFFFF"/>
              </w:rPr>
              <w:t>分</w:t>
            </w:r>
          </w:p>
        </w:tc>
        <w:tc>
          <w:tcPr>
            <w:tcW w:w="3249" w:type="pct"/>
            <w:vAlign w:val="center"/>
          </w:tcPr>
          <w:p>
            <w:pPr>
              <w:pStyle w:val="25"/>
              <w:spacing w:before="32" w:after="32"/>
              <w:rPr>
                <w:shd w:val="clear" w:color="auto" w:fill="FFFFFF"/>
              </w:rPr>
            </w:pPr>
            <w:r>
              <w:rPr>
                <w:rFonts w:hint="eastAsia"/>
                <w:shd w:val="clear" w:color="auto" w:fill="FFFFFF"/>
              </w:rPr>
              <w:t>供应商保证项目实施达到预期目标，提供项目管理及实施方案，对实施人员分工、项目计划和进度，对项目的服务、安装、调试、验收和应用系统上线等进行合理安排和规划。磋商小组根据响应方案内容进行综合评审：</w:t>
            </w:r>
          </w:p>
          <w:p>
            <w:pPr>
              <w:pStyle w:val="25"/>
              <w:numPr>
                <w:ilvl w:val="0"/>
                <w:numId w:val="10"/>
              </w:numPr>
              <w:spacing w:before="32" w:after="32"/>
              <w:rPr>
                <w:shd w:val="clear" w:color="auto" w:fill="FFFFFF"/>
              </w:rPr>
            </w:pPr>
            <w:r>
              <w:rPr>
                <w:rFonts w:hint="eastAsia"/>
                <w:shd w:val="clear" w:color="auto" w:fill="FFFFFF"/>
              </w:rPr>
              <w:t>具有详细的售后服务承诺，且具有完善的售后服务方案和培训方案的得</w:t>
            </w:r>
            <w:r>
              <w:rPr>
                <w:shd w:val="clear" w:color="auto" w:fill="FFFFFF"/>
              </w:rPr>
              <w:t>6</w:t>
            </w:r>
            <w:r>
              <w:rPr>
                <w:rFonts w:hint="eastAsia"/>
                <w:shd w:val="clear" w:color="auto" w:fill="FFFFFF"/>
              </w:rPr>
              <w:t>分；</w:t>
            </w:r>
          </w:p>
          <w:p>
            <w:pPr>
              <w:pStyle w:val="25"/>
              <w:numPr>
                <w:ilvl w:val="0"/>
                <w:numId w:val="10"/>
              </w:numPr>
              <w:spacing w:before="32" w:after="32"/>
              <w:rPr>
                <w:shd w:val="clear" w:color="auto" w:fill="FFFFFF"/>
              </w:rPr>
            </w:pPr>
            <w:r>
              <w:rPr>
                <w:rFonts w:hint="eastAsia"/>
                <w:shd w:val="clear" w:color="auto" w:fill="FFFFFF"/>
              </w:rPr>
              <w:t>售后服务承诺及方案基本可行的得</w:t>
            </w:r>
            <w:r>
              <w:rPr>
                <w:shd w:val="clear" w:color="auto" w:fill="FFFFFF"/>
              </w:rPr>
              <w:t>3</w:t>
            </w:r>
            <w:r>
              <w:rPr>
                <w:rFonts w:hint="eastAsia"/>
                <w:shd w:val="clear" w:color="auto" w:fill="FFFFFF"/>
              </w:rPr>
              <w:t>分；</w:t>
            </w:r>
          </w:p>
          <w:p>
            <w:pPr>
              <w:pStyle w:val="25"/>
              <w:numPr>
                <w:ilvl w:val="0"/>
                <w:numId w:val="10"/>
              </w:numPr>
              <w:spacing w:before="32" w:after="32"/>
              <w:rPr>
                <w:shd w:val="clear" w:color="auto" w:fill="FFFFFF"/>
              </w:rPr>
            </w:pPr>
            <w:r>
              <w:rPr>
                <w:rFonts w:hint="eastAsia"/>
                <w:shd w:val="clear" w:color="auto" w:fill="FFFFFF"/>
              </w:rPr>
              <w:t>售后服务承诺及方案较粗略，可行性较差的得</w:t>
            </w:r>
            <w:r>
              <w:rPr>
                <w:shd w:val="clear" w:color="auto" w:fill="FFFFFF"/>
              </w:rPr>
              <w:t>1</w:t>
            </w:r>
            <w:r>
              <w:rPr>
                <w:rFonts w:hint="eastAsia"/>
                <w:shd w:val="clear" w:color="auto" w:fill="FFFFFF"/>
              </w:rPr>
              <w:t>分；</w:t>
            </w:r>
          </w:p>
        </w:tc>
      </w:tr>
    </w:tbl>
    <w:p>
      <w:pPr>
        <w:pStyle w:val="25"/>
        <w:spacing w:before="32" w:after="32"/>
        <w:rPr>
          <w:shd w:val="clear" w:color="auto" w:fill="FFFFFF"/>
        </w:rPr>
      </w:pPr>
    </w:p>
    <w:sectPr>
      <w:pgSz w:w="11906" w:h="16838"/>
      <w:pgMar w:top="1440" w:right="1080" w:bottom="1440" w:left="1080" w:header="851"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仿宋">
    <w:altName w:val="汉仪仿宋KW"/>
    <w:panose1 w:val="02010609060101010101"/>
    <w:charset w:val="86"/>
    <w:family w:val="modern"/>
    <w:pitch w:val="default"/>
    <w:sig w:usb0="00000000" w:usb1="00000000" w:usb2="00000016" w:usb3="00000000" w:csb0="00040001" w:csb1="00000000"/>
  </w:font>
  <w:font w:name="仿宋_GB2312">
    <w:altName w:val="汉仪仿宋KW"/>
    <w:panose1 w:val="00000000000000000000"/>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8B455"/>
    <w:multiLevelType w:val="singleLevel"/>
    <w:tmpl w:val="A7F8B455"/>
    <w:lvl w:ilvl="0" w:tentative="0">
      <w:start w:val="1"/>
      <w:numFmt w:val="decimal"/>
      <w:lvlText w:val="(%1)"/>
      <w:lvlJc w:val="left"/>
      <w:pPr>
        <w:ind w:left="425" w:hanging="425"/>
      </w:pPr>
      <w:rPr>
        <w:rFonts w:hint="default"/>
      </w:rPr>
    </w:lvl>
  </w:abstractNum>
  <w:abstractNum w:abstractNumId="1">
    <w:nsid w:val="15325701"/>
    <w:multiLevelType w:val="multilevel"/>
    <w:tmpl w:val="153257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F32685A"/>
    <w:multiLevelType w:val="multilevel"/>
    <w:tmpl w:val="1F32685A"/>
    <w:lvl w:ilvl="0" w:tentative="0">
      <w:start w:val="1"/>
      <w:numFmt w:val="decimal"/>
      <w:pStyle w:val="31"/>
      <w:lvlText w:val="%1."/>
      <w:lvlJc w:val="left"/>
      <w:pPr>
        <w:tabs>
          <w:tab w:val="left" w:pos="432"/>
        </w:tabs>
        <w:ind w:left="432" w:hanging="432"/>
      </w:pPr>
      <w:rPr>
        <w:rFonts w:hint="eastAsia"/>
      </w:rPr>
    </w:lvl>
    <w:lvl w:ilvl="1" w:tentative="0">
      <w:start w:val="1"/>
      <w:numFmt w:val="decimal"/>
      <w:pStyle w:val="32"/>
      <w:lvlText w:val="%1.%2"/>
      <w:lvlJc w:val="left"/>
      <w:pPr>
        <w:tabs>
          <w:tab w:val="left" w:pos="576"/>
        </w:tabs>
        <w:ind w:left="576" w:hanging="576"/>
      </w:pPr>
      <w:rPr>
        <w:rFonts w:hint="eastAsia"/>
      </w:rPr>
    </w:lvl>
    <w:lvl w:ilvl="2" w:tentative="0">
      <w:start w:val="1"/>
      <w:numFmt w:val="decimal"/>
      <w:pStyle w:val="33"/>
      <w:lvlText w:val="%1.%2.%3"/>
      <w:lvlJc w:val="left"/>
      <w:pPr>
        <w:tabs>
          <w:tab w:val="left" w:pos="720"/>
        </w:tabs>
        <w:ind w:left="720" w:hanging="720"/>
      </w:pPr>
      <w:rPr>
        <w:rFonts w:hint="eastAsia"/>
      </w:rPr>
    </w:lvl>
    <w:lvl w:ilvl="3" w:tentative="0">
      <w:start w:val="1"/>
      <w:numFmt w:val="decimal"/>
      <w:pStyle w:val="34"/>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2C060B0"/>
    <w:multiLevelType w:val="multilevel"/>
    <w:tmpl w:val="22C060B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1E6CB8A"/>
    <w:multiLevelType w:val="singleLevel"/>
    <w:tmpl w:val="31E6CB8A"/>
    <w:lvl w:ilvl="0" w:tentative="0">
      <w:start w:val="1"/>
      <w:numFmt w:val="decimal"/>
      <w:lvlText w:val="(%1)"/>
      <w:lvlJc w:val="left"/>
      <w:pPr>
        <w:ind w:left="425" w:hanging="425"/>
      </w:pPr>
      <w:rPr>
        <w:rFonts w:hint="default"/>
      </w:rPr>
    </w:lvl>
  </w:abstractNum>
  <w:abstractNum w:abstractNumId="5">
    <w:nsid w:val="346C5CA9"/>
    <w:multiLevelType w:val="multilevel"/>
    <w:tmpl w:val="346C5CA9"/>
    <w:lvl w:ilvl="0" w:tentative="0">
      <w:start w:val="1"/>
      <w:numFmt w:val="bullet"/>
      <w:lvlText w:val="-"/>
      <w:lvlJc w:val="left"/>
      <w:pPr>
        <w:tabs>
          <w:tab w:val="left" w:pos="785"/>
        </w:tabs>
        <w:ind w:left="420" w:firstLine="5"/>
      </w:pPr>
      <w:rPr>
        <w:rFonts w:hint="eastAsia" w:ascii="宋体" w:hAnsi="Wingdings" w:eastAsia="宋体"/>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6">
    <w:nsid w:val="39EF44E8"/>
    <w:multiLevelType w:val="multilevel"/>
    <w:tmpl w:val="39EF44E8"/>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0100289"/>
    <w:multiLevelType w:val="multilevel"/>
    <w:tmpl w:val="6010028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753296A"/>
    <w:multiLevelType w:val="multilevel"/>
    <w:tmpl w:val="6753296A"/>
    <w:lvl w:ilvl="0" w:tentative="0">
      <w:start w:val="1"/>
      <w:numFmt w:val="lowerLetter"/>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78BA41A9"/>
    <w:multiLevelType w:val="multilevel"/>
    <w:tmpl w:val="78BA41A9"/>
    <w:lvl w:ilvl="0" w:tentative="0">
      <w:start w:val="1"/>
      <w:numFmt w:val="bullet"/>
      <w:lvlText w:val=""/>
      <w:lvlJc w:val="left"/>
      <w:pPr>
        <w:ind w:left="425" w:firstLine="0"/>
      </w:pPr>
      <w:rPr>
        <w:rFonts w:hint="default" w:ascii="Wingdings" w:hAnsi="Wingdings"/>
      </w:rPr>
    </w:lvl>
    <w:lvl w:ilvl="1" w:tentative="0">
      <w:start w:val="0"/>
      <w:numFmt w:val="bullet"/>
      <w:lvlText w:val="★"/>
      <w:lvlJc w:val="left"/>
      <w:pPr>
        <w:ind w:left="780" w:hanging="360"/>
      </w:pPr>
      <w:rPr>
        <w:rFonts w:hint="eastAsia" w:ascii="仿宋_GB2312" w:hAnsi="Times New Roman" w:eastAsia="仿宋_GB2312" w:cs="Times New Roman"/>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1"/>
  </w:num>
  <w:num w:numId="3">
    <w:abstractNumId w:val="6"/>
  </w:num>
  <w:num w:numId="4">
    <w:abstractNumId w:val="3"/>
  </w:num>
  <w:num w:numId="5">
    <w:abstractNumId w:val="7"/>
  </w:num>
  <w:num w:numId="6">
    <w:abstractNumId w:val="8"/>
  </w:num>
  <w:num w:numId="7">
    <w:abstractNumId w:val="9"/>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IzMzg1MjBlN2VjMDQxYjkyZmIyN2E3OWY0NzUwNWYifQ=="/>
  </w:docVars>
  <w:rsids>
    <w:rsidRoot w:val="00A472B4"/>
    <w:rsid w:val="000042AA"/>
    <w:rsid w:val="000055BF"/>
    <w:rsid w:val="00006644"/>
    <w:rsid w:val="00011C77"/>
    <w:rsid w:val="00012250"/>
    <w:rsid w:val="00015491"/>
    <w:rsid w:val="00016C14"/>
    <w:rsid w:val="0001711F"/>
    <w:rsid w:val="00021E22"/>
    <w:rsid w:val="00032D87"/>
    <w:rsid w:val="00034A0E"/>
    <w:rsid w:val="00034F87"/>
    <w:rsid w:val="00046317"/>
    <w:rsid w:val="00057F52"/>
    <w:rsid w:val="0007052A"/>
    <w:rsid w:val="00070E69"/>
    <w:rsid w:val="00074B6F"/>
    <w:rsid w:val="00084D1E"/>
    <w:rsid w:val="00084D92"/>
    <w:rsid w:val="000936C1"/>
    <w:rsid w:val="00094E0C"/>
    <w:rsid w:val="000962A8"/>
    <w:rsid w:val="00097290"/>
    <w:rsid w:val="000A5922"/>
    <w:rsid w:val="000A600A"/>
    <w:rsid w:val="000B2EAA"/>
    <w:rsid w:val="000B44D4"/>
    <w:rsid w:val="000B6827"/>
    <w:rsid w:val="000C152C"/>
    <w:rsid w:val="000C64E1"/>
    <w:rsid w:val="000C6714"/>
    <w:rsid w:val="000D1D79"/>
    <w:rsid w:val="000E14E7"/>
    <w:rsid w:val="000E2D8B"/>
    <w:rsid w:val="000E5B4A"/>
    <w:rsid w:val="000F0684"/>
    <w:rsid w:val="00117934"/>
    <w:rsid w:val="00123954"/>
    <w:rsid w:val="00125303"/>
    <w:rsid w:val="001330EA"/>
    <w:rsid w:val="0014098F"/>
    <w:rsid w:val="00141CB8"/>
    <w:rsid w:val="001424C8"/>
    <w:rsid w:val="001425B4"/>
    <w:rsid w:val="00150CB1"/>
    <w:rsid w:val="001528F0"/>
    <w:rsid w:val="00166F69"/>
    <w:rsid w:val="00170D2E"/>
    <w:rsid w:val="00172A6B"/>
    <w:rsid w:val="0017332D"/>
    <w:rsid w:val="00177BA3"/>
    <w:rsid w:val="00177C02"/>
    <w:rsid w:val="00181044"/>
    <w:rsid w:val="00182470"/>
    <w:rsid w:val="001937D7"/>
    <w:rsid w:val="00195202"/>
    <w:rsid w:val="001975FC"/>
    <w:rsid w:val="001A37B7"/>
    <w:rsid w:val="001A473B"/>
    <w:rsid w:val="001A7B1D"/>
    <w:rsid w:val="001B2E17"/>
    <w:rsid w:val="001C1076"/>
    <w:rsid w:val="001C6192"/>
    <w:rsid w:val="001D0000"/>
    <w:rsid w:val="001E727C"/>
    <w:rsid w:val="001E7DF7"/>
    <w:rsid w:val="001F3985"/>
    <w:rsid w:val="001F4085"/>
    <w:rsid w:val="002011B0"/>
    <w:rsid w:val="00202E72"/>
    <w:rsid w:val="00204201"/>
    <w:rsid w:val="0020716F"/>
    <w:rsid w:val="00211587"/>
    <w:rsid w:val="00213062"/>
    <w:rsid w:val="00215C3C"/>
    <w:rsid w:val="002161B7"/>
    <w:rsid w:val="0021647B"/>
    <w:rsid w:val="00221710"/>
    <w:rsid w:val="00224024"/>
    <w:rsid w:val="00224C8F"/>
    <w:rsid w:val="002257EB"/>
    <w:rsid w:val="00230193"/>
    <w:rsid w:val="0023124F"/>
    <w:rsid w:val="002349FB"/>
    <w:rsid w:val="002436BA"/>
    <w:rsid w:val="00261544"/>
    <w:rsid w:val="00264E21"/>
    <w:rsid w:val="00276092"/>
    <w:rsid w:val="0027623F"/>
    <w:rsid w:val="00284651"/>
    <w:rsid w:val="00285857"/>
    <w:rsid w:val="002A0942"/>
    <w:rsid w:val="002A3C9C"/>
    <w:rsid w:val="002A4142"/>
    <w:rsid w:val="002A597F"/>
    <w:rsid w:val="002B0BBB"/>
    <w:rsid w:val="002B113F"/>
    <w:rsid w:val="002B662F"/>
    <w:rsid w:val="002C10AA"/>
    <w:rsid w:val="002C3153"/>
    <w:rsid w:val="002C6B72"/>
    <w:rsid w:val="002D342E"/>
    <w:rsid w:val="002D3E92"/>
    <w:rsid w:val="002D5A98"/>
    <w:rsid w:val="002D5E08"/>
    <w:rsid w:val="002D7BAD"/>
    <w:rsid w:val="002E17AF"/>
    <w:rsid w:val="002E2051"/>
    <w:rsid w:val="002E4EC3"/>
    <w:rsid w:val="002F5569"/>
    <w:rsid w:val="002F7F50"/>
    <w:rsid w:val="00301C7E"/>
    <w:rsid w:val="00304930"/>
    <w:rsid w:val="003074A8"/>
    <w:rsid w:val="0031062E"/>
    <w:rsid w:val="003141BA"/>
    <w:rsid w:val="00315C67"/>
    <w:rsid w:val="0032052B"/>
    <w:rsid w:val="003210C1"/>
    <w:rsid w:val="003313E0"/>
    <w:rsid w:val="003339C9"/>
    <w:rsid w:val="003451DC"/>
    <w:rsid w:val="0035234B"/>
    <w:rsid w:val="003529AF"/>
    <w:rsid w:val="00352CCD"/>
    <w:rsid w:val="0035442A"/>
    <w:rsid w:val="00354A7A"/>
    <w:rsid w:val="00360947"/>
    <w:rsid w:val="0036221C"/>
    <w:rsid w:val="003641F2"/>
    <w:rsid w:val="0036476A"/>
    <w:rsid w:val="00383E8A"/>
    <w:rsid w:val="003918D7"/>
    <w:rsid w:val="003928CC"/>
    <w:rsid w:val="00395066"/>
    <w:rsid w:val="003A2723"/>
    <w:rsid w:val="003B15CF"/>
    <w:rsid w:val="003B17E2"/>
    <w:rsid w:val="003B2695"/>
    <w:rsid w:val="003B6DE9"/>
    <w:rsid w:val="003B7D9D"/>
    <w:rsid w:val="003C6A5C"/>
    <w:rsid w:val="003E23A6"/>
    <w:rsid w:val="003F12DB"/>
    <w:rsid w:val="003F1366"/>
    <w:rsid w:val="003F2737"/>
    <w:rsid w:val="00400326"/>
    <w:rsid w:val="00401E9E"/>
    <w:rsid w:val="004048B4"/>
    <w:rsid w:val="0040514D"/>
    <w:rsid w:val="0041014C"/>
    <w:rsid w:val="0041110A"/>
    <w:rsid w:val="00413750"/>
    <w:rsid w:val="0042026D"/>
    <w:rsid w:val="00434297"/>
    <w:rsid w:val="00434EC6"/>
    <w:rsid w:val="00435292"/>
    <w:rsid w:val="0043646F"/>
    <w:rsid w:val="0043700D"/>
    <w:rsid w:val="00440AAC"/>
    <w:rsid w:val="00440C06"/>
    <w:rsid w:val="0044186C"/>
    <w:rsid w:val="004532EA"/>
    <w:rsid w:val="00455154"/>
    <w:rsid w:val="004578C5"/>
    <w:rsid w:val="00460C12"/>
    <w:rsid w:val="004676E6"/>
    <w:rsid w:val="00476896"/>
    <w:rsid w:val="00485DA5"/>
    <w:rsid w:val="00493A35"/>
    <w:rsid w:val="00494C3C"/>
    <w:rsid w:val="00495254"/>
    <w:rsid w:val="004A2BCD"/>
    <w:rsid w:val="004A2EE8"/>
    <w:rsid w:val="004B0C4D"/>
    <w:rsid w:val="004B0FA9"/>
    <w:rsid w:val="004B18B7"/>
    <w:rsid w:val="004B293F"/>
    <w:rsid w:val="004B452E"/>
    <w:rsid w:val="004B7F3B"/>
    <w:rsid w:val="004C3348"/>
    <w:rsid w:val="004D2193"/>
    <w:rsid w:val="004D2464"/>
    <w:rsid w:val="004D5BC5"/>
    <w:rsid w:val="004E183B"/>
    <w:rsid w:val="004E260F"/>
    <w:rsid w:val="004E2899"/>
    <w:rsid w:val="004E4809"/>
    <w:rsid w:val="004E7CE8"/>
    <w:rsid w:val="004F20EB"/>
    <w:rsid w:val="004F2273"/>
    <w:rsid w:val="004F2548"/>
    <w:rsid w:val="004F257E"/>
    <w:rsid w:val="004F4440"/>
    <w:rsid w:val="004F57EE"/>
    <w:rsid w:val="004F726C"/>
    <w:rsid w:val="00501996"/>
    <w:rsid w:val="00502027"/>
    <w:rsid w:val="005142BE"/>
    <w:rsid w:val="00536393"/>
    <w:rsid w:val="0053649C"/>
    <w:rsid w:val="00545878"/>
    <w:rsid w:val="005470B6"/>
    <w:rsid w:val="005525EB"/>
    <w:rsid w:val="0055306B"/>
    <w:rsid w:val="00554426"/>
    <w:rsid w:val="00554E6A"/>
    <w:rsid w:val="00561345"/>
    <w:rsid w:val="00571CC9"/>
    <w:rsid w:val="005746CF"/>
    <w:rsid w:val="00574F22"/>
    <w:rsid w:val="005753AE"/>
    <w:rsid w:val="00584B6B"/>
    <w:rsid w:val="00590F6D"/>
    <w:rsid w:val="005919A0"/>
    <w:rsid w:val="00592C9C"/>
    <w:rsid w:val="00593FD6"/>
    <w:rsid w:val="005A5C8A"/>
    <w:rsid w:val="005B30B0"/>
    <w:rsid w:val="005B5832"/>
    <w:rsid w:val="005B6B05"/>
    <w:rsid w:val="005C1BC5"/>
    <w:rsid w:val="005C1E0B"/>
    <w:rsid w:val="005D0896"/>
    <w:rsid w:val="005D2EA8"/>
    <w:rsid w:val="005D7E89"/>
    <w:rsid w:val="005E2AFF"/>
    <w:rsid w:val="005E4249"/>
    <w:rsid w:val="005E46D3"/>
    <w:rsid w:val="005F5D89"/>
    <w:rsid w:val="00602FB8"/>
    <w:rsid w:val="00610385"/>
    <w:rsid w:val="00613662"/>
    <w:rsid w:val="0062193F"/>
    <w:rsid w:val="00630148"/>
    <w:rsid w:val="0063078F"/>
    <w:rsid w:val="00635D93"/>
    <w:rsid w:val="006364FB"/>
    <w:rsid w:val="00640981"/>
    <w:rsid w:val="00640DF9"/>
    <w:rsid w:val="00641D32"/>
    <w:rsid w:val="00642CB9"/>
    <w:rsid w:val="00644352"/>
    <w:rsid w:val="0064636F"/>
    <w:rsid w:val="00646DB6"/>
    <w:rsid w:val="006502F1"/>
    <w:rsid w:val="006527A4"/>
    <w:rsid w:val="00660A99"/>
    <w:rsid w:val="00661EEC"/>
    <w:rsid w:val="00663B15"/>
    <w:rsid w:val="00665601"/>
    <w:rsid w:val="0067216B"/>
    <w:rsid w:val="00676DAD"/>
    <w:rsid w:val="0068030B"/>
    <w:rsid w:val="00691D0C"/>
    <w:rsid w:val="006922B6"/>
    <w:rsid w:val="006933EC"/>
    <w:rsid w:val="006A6276"/>
    <w:rsid w:val="006A6FF5"/>
    <w:rsid w:val="006C3242"/>
    <w:rsid w:val="006C4CBD"/>
    <w:rsid w:val="006D1374"/>
    <w:rsid w:val="006D2040"/>
    <w:rsid w:val="006D2051"/>
    <w:rsid w:val="006D3543"/>
    <w:rsid w:val="006D4382"/>
    <w:rsid w:val="006D7245"/>
    <w:rsid w:val="006D7F8F"/>
    <w:rsid w:val="006E371D"/>
    <w:rsid w:val="006E79E3"/>
    <w:rsid w:val="006F0444"/>
    <w:rsid w:val="006F20A1"/>
    <w:rsid w:val="006F3BA8"/>
    <w:rsid w:val="00700BD0"/>
    <w:rsid w:val="0070214C"/>
    <w:rsid w:val="00707326"/>
    <w:rsid w:val="00720496"/>
    <w:rsid w:val="007273AB"/>
    <w:rsid w:val="00734B20"/>
    <w:rsid w:val="00734B6A"/>
    <w:rsid w:val="007353D5"/>
    <w:rsid w:val="007418AB"/>
    <w:rsid w:val="0074255D"/>
    <w:rsid w:val="00747A4B"/>
    <w:rsid w:val="00747EFE"/>
    <w:rsid w:val="0075075D"/>
    <w:rsid w:val="00754991"/>
    <w:rsid w:val="007763EC"/>
    <w:rsid w:val="007777DD"/>
    <w:rsid w:val="00783972"/>
    <w:rsid w:val="00786C4F"/>
    <w:rsid w:val="0079264E"/>
    <w:rsid w:val="00794A47"/>
    <w:rsid w:val="007B4E2B"/>
    <w:rsid w:val="007C3A50"/>
    <w:rsid w:val="007C4F5E"/>
    <w:rsid w:val="007D1106"/>
    <w:rsid w:val="007E0A7F"/>
    <w:rsid w:val="007E1E3D"/>
    <w:rsid w:val="007E3036"/>
    <w:rsid w:val="007E487B"/>
    <w:rsid w:val="007F0850"/>
    <w:rsid w:val="007F2770"/>
    <w:rsid w:val="007F53BB"/>
    <w:rsid w:val="00800896"/>
    <w:rsid w:val="008037D5"/>
    <w:rsid w:val="008105F4"/>
    <w:rsid w:val="00822EA5"/>
    <w:rsid w:val="00850853"/>
    <w:rsid w:val="008509D3"/>
    <w:rsid w:val="00861A8E"/>
    <w:rsid w:val="00866BC4"/>
    <w:rsid w:val="00877E1F"/>
    <w:rsid w:val="00883FA6"/>
    <w:rsid w:val="00892A07"/>
    <w:rsid w:val="00892F1D"/>
    <w:rsid w:val="00892FED"/>
    <w:rsid w:val="00894119"/>
    <w:rsid w:val="00895E61"/>
    <w:rsid w:val="008A136B"/>
    <w:rsid w:val="008A3A57"/>
    <w:rsid w:val="008A493E"/>
    <w:rsid w:val="008A6DBB"/>
    <w:rsid w:val="008B12ED"/>
    <w:rsid w:val="008B5D0F"/>
    <w:rsid w:val="008C094F"/>
    <w:rsid w:val="008C2BC9"/>
    <w:rsid w:val="008C52B7"/>
    <w:rsid w:val="008D256F"/>
    <w:rsid w:val="008D2DD3"/>
    <w:rsid w:val="008D5BEA"/>
    <w:rsid w:val="008E3600"/>
    <w:rsid w:val="008E585C"/>
    <w:rsid w:val="008E6A15"/>
    <w:rsid w:val="008E7C59"/>
    <w:rsid w:val="008F0E27"/>
    <w:rsid w:val="008F2A21"/>
    <w:rsid w:val="008F312C"/>
    <w:rsid w:val="008F33A5"/>
    <w:rsid w:val="00904CA1"/>
    <w:rsid w:val="009053FC"/>
    <w:rsid w:val="00906F6F"/>
    <w:rsid w:val="009111A3"/>
    <w:rsid w:val="009159EB"/>
    <w:rsid w:val="009215B1"/>
    <w:rsid w:val="00926F1C"/>
    <w:rsid w:val="009273D0"/>
    <w:rsid w:val="00933ADF"/>
    <w:rsid w:val="00933B0D"/>
    <w:rsid w:val="00936FE9"/>
    <w:rsid w:val="00941FE2"/>
    <w:rsid w:val="009442C5"/>
    <w:rsid w:val="00952F0B"/>
    <w:rsid w:val="00953BE2"/>
    <w:rsid w:val="00954EFF"/>
    <w:rsid w:val="009662A6"/>
    <w:rsid w:val="00970B30"/>
    <w:rsid w:val="00980B72"/>
    <w:rsid w:val="00984169"/>
    <w:rsid w:val="00984762"/>
    <w:rsid w:val="00985827"/>
    <w:rsid w:val="00986A27"/>
    <w:rsid w:val="00996F60"/>
    <w:rsid w:val="009A2E25"/>
    <w:rsid w:val="009B287D"/>
    <w:rsid w:val="009B55A6"/>
    <w:rsid w:val="009B7B50"/>
    <w:rsid w:val="009C11BE"/>
    <w:rsid w:val="009C42AB"/>
    <w:rsid w:val="009C5A00"/>
    <w:rsid w:val="009C5A05"/>
    <w:rsid w:val="009D27F1"/>
    <w:rsid w:val="009D5300"/>
    <w:rsid w:val="009E6230"/>
    <w:rsid w:val="009E6A75"/>
    <w:rsid w:val="009F4283"/>
    <w:rsid w:val="009F6B64"/>
    <w:rsid w:val="00A053AA"/>
    <w:rsid w:val="00A10C86"/>
    <w:rsid w:val="00A13FE7"/>
    <w:rsid w:val="00A17347"/>
    <w:rsid w:val="00A2223F"/>
    <w:rsid w:val="00A22D37"/>
    <w:rsid w:val="00A30D79"/>
    <w:rsid w:val="00A35816"/>
    <w:rsid w:val="00A4025D"/>
    <w:rsid w:val="00A44475"/>
    <w:rsid w:val="00A472B4"/>
    <w:rsid w:val="00A50DFB"/>
    <w:rsid w:val="00A514D6"/>
    <w:rsid w:val="00A5733B"/>
    <w:rsid w:val="00A606CA"/>
    <w:rsid w:val="00A64F1B"/>
    <w:rsid w:val="00A66165"/>
    <w:rsid w:val="00A70410"/>
    <w:rsid w:val="00A72BC5"/>
    <w:rsid w:val="00A73B5B"/>
    <w:rsid w:val="00A768DC"/>
    <w:rsid w:val="00A80A24"/>
    <w:rsid w:val="00A84FC4"/>
    <w:rsid w:val="00A91941"/>
    <w:rsid w:val="00A9228B"/>
    <w:rsid w:val="00A93BB3"/>
    <w:rsid w:val="00A9463C"/>
    <w:rsid w:val="00AA3327"/>
    <w:rsid w:val="00AB4AB3"/>
    <w:rsid w:val="00AC08DF"/>
    <w:rsid w:val="00AC23DF"/>
    <w:rsid w:val="00AC31FF"/>
    <w:rsid w:val="00AC3318"/>
    <w:rsid w:val="00AC3EB7"/>
    <w:rsid w:val="00AC5CE6"/>
    <w:rsid w:val="00AD5352"/>
    <w:rsid w:val="00AD56A8"/>
    <w:rsid w:val="00AE17FC"/>
    <w:rsid w:val="00AE67E1"/>
    <w:rsid w:val="00AF22BB"/>
    <w:rsid w:val="00AF3290"/>
    <w:rsid w:val="00B0184C"/>
    <w:rsid w:val="00B019C7"/>
    <w:rsid w:val="00B066E7"/>
    <w:rsid w:val="00B2509E"/>
    <w:rsid w:val="00B27CCB"/>
    <w:rsid w:val="00B4117C"/>
    <w:rsid w:val="00B4314B"/>
    <w:rsid w:val="00B503EC"/>
    <w:rsid w:val="00B5129F"/>
    <w:rsid w:val="00B56547"/>
    <w:rsid w:val="00B57959"/>
    <w:rsid w:val="00B64387"/>
    <w:rsid w:val="00B7033E"/>
    <w:rsid w:val="00B722F2"/>
    <w:rsid w:val="00B76AEC"/>
    <w:rsid w:val="00B77F68"/>
    <w:rsid w:val="00B832B9"/>
    <w:rsid w:val="00B842AD"/>
    <w:rsid w:val="00B85D0F"/>
    <w:rsid w:val="00B87BCB"/>
    <w:rsid w:val="00B94818"/>
    <w:rsid w:val="00B96E53"/>
    <w:rsid w:val="00BA2664"/>
    <w:rsid w:val="00BA2BF9"/>
    <w:rsid w:val="00BA2F5E"/>
    <w:rsid w:val="00BA4013"/>
    <w:rsid w:val="00BA41FC"/>
    <w:rsid w:val="00BA42F7"/>
    <w:rsid w:val="00BA487B"/>
    <w:rsid w:val="00BC325A"/>
    <w:rsid w:val="00BC7FAE"/>
    <w:rsid w:val="00BD1301"/>
    <w:rsid w:val="00BD1D0E"/>
    <w:rsid w:val="00BD1E93"/>
    <w:rsid w:val="00BD424A"/>
    <w:rsid w:val="00BD6C7D"/>
    <w:rsid w:val="00BE104C"/>
    <w:rsid w:val="00BE23B1"/>
    <w:rsid w:val="00BE74A0"/>
    <w:rsid w:val="00BF062A"/>
    <w:rsid w:val="00BF08F0"/>
    <w:rsid w:val="00BF2765"/>
    <w:rsid w:val="00BF32F2"/>
    <w:rsid w:val="00BF475B"/>
    <w:rsid w:val="00C006AF"/>
    <w:rsid w:val="00C0106E"/>
    <w:rsid w:val="00C031AB"/>
    <w:rsid w:val="00C13759"/>
    <w:rsid w:val="00C1413C"/>
    <w:rsid w:val="00C22783"/>
    <w:rsid w:val="00C26969"/>
    <w:rsid w:val="00C340FE"/>
    <w:rsid w:val="00C343F0"/>
    <w:rsid w:val="00C34933"/>
    <w:rsid w:val="00C46E48"/>
    <w:rsid w:val="00C474F7"/>
    <w:rsid w:val="00C54A60"/>
    <w:rsid w:val="00C559BA"/>
    <w:rsid w:val="00C70DC1"/>
    <w:rsid w:val="00C85714"/>
    <w:rsid w:val="00C865BD"/>
    <w:rsid w:val="00C877B9"/>
    <w:rsid w:val="00C9363C"/>
    <w:rsid w:val="00C94D98"/>
    <w:rsid w:val="00C95FF1"/>
    <w:rsid w:val="00CA20E6"/>
    <w:rsid w:val="00CB6509"/>
    <w:rsid w:val="00CC7782"/>
    <w:rsid w:val="00CD1B95"/>
    <w:rsid w:val="00CD2FA8"/>
    <w:rsid w:val="00CD38EE"/>
    <w:rsid w:val="00CD3D01"/>
    <w:rsid w:val="00CD472D"/>
    <w:rsid w:val="00CD4CE5"/>
    <w:rsid w:val="00CD7DBF"/>
    <w:rsid w:val="00CE0D4B"/>
    <w:rsid w:val="00CE2BCD"/>
    <w:rsid w:val="00CE44D0"/>
    <w:rsid w:val="00CE50C8"/>
    <w:rsid w:val="00CE782F"/>
    <w:rsid w:val="00D00FB5"/>
    <w:rsid w:val="00D13EA7"/>
    <w:rsid w:val="00D15849"/>
    <w:rsid w:val="00D25735"/>
    <w:rsid w:val="00D2602C"/>
    <w:rsid w:val="00D40E02"/>
    <w:rsid w:val="00D42E5B"/>
    <w:rsid w:val="00D437A1"/>
    <w:rsid w:val="00D5386E"/>
    <w:rsid w:val="00D53916"/>
    <w:rsid w:val="00D542D5"/>
    <w:rsid w:val="00D641B5"/>
    <w:rsid w:val="00D65974"/>
    <w:rsid w:val="00D6718F"/>
    <w:rsid w:val="00D72577"/>
    <w:rsid w:val="00D72844"/>
    <w:rsid w:val="00D734C8"/>
    <w:rsid w:val="00D75CB8"/>
    <w:rsid w:val="00D86AD9"/>
    <w:rsid w:val="00D97268"/>
    <w:rsid w:val="00D97344"/>
    <w:rsid w:val="00DA04BE"/>
    <w:rsid w:val="00DA1603"/>
    <w:rsid w:val="00DA2ED4"/>
    <w:rsid w:val="00DB1CA1"/>
    <w:rsid w:val="00DB52EF"/>
    <w:rsid w:val="00DC16D9"/>
    <w:rsid w:val="00DC61D0"/>
    <w:rsid w:val="00DD400C"/>
    <w:rsid w:val="00DD627B"/>
    <w:rsid w:val="00DD6DA9"/>
    <w:rsid w:val="00DE305F"/>
    <w:rsid w:val="00DE33AD"/>
    <w:rsid w:val="00DF6EDC"/>
    <w:rsid w:val="00E03DEF"/>
    <w:rsid w:val="00E22D4A"/>
    <w:rsid w:val="00E23B63"/>
    <w:rsid w:val="00E23B80"/>
    <w:rsid w:val="00E23CEF"/>
    <w:rsid w:val="00E312C9"/>
    <w:rsid w:val="00E31BD2"/>
    <w:rsid w:val="00E356FB"/>
    <w:rsid w:val="00E53427"/>
    <w:rsid w:val="00E54E6F"/>
    <w:rsid w:val="00E62EBE"/>
    <w:rsid w:val="00E678CF"/>
    <w:rsid w:val="00E72FA7"/>
    <w:rsid w:val="00E75C98"/>
    <w:rsid w:val="00E77DF6"/>
    <w:rsid w:val="00E82EB9"/>
    <w:rsid w:val="00E83A20"/>
    <w:rsid w:val="00E90DC6"/>
    <w:rsid w:val="00E9179F"/>
    <w:rsid w:val="00EA1CC4"/>
    <w:rsid w:val="00EA5487"/>
    <w:rsid w:val="00EB1174"/>
    <w:rsid w:val="00EB4B4D"/>
    <w:rsid w:val="00EB5DE2"/>
    <w:rsid w:val="00EC5866"/>
    <w:rsid w:val="00ED1EE7"/>
    <w:rsid w:val="00ED2AF0"/>
    <w:rsid w:val="00ED5509"/>
    <w:rsid w:val="00ED6A91"/>
    <w:rsid w:val="00EE0BF1"/>
    <w:rsid w:val="00EF3092"/>
    <w:rsid w:val="00EF37AA"/>
    <w:rsid w:val="00EF7369"/>
    <w:rsid w:val="00F03130"/>
    <w:rsid w:val="00F17D1D"/>
    <w:rsid w:val="00F22D24"/>
    <w:rsid w:val="00F24274"/>
    <w:rsid w:val="00F31C9F"/>
    <w:rsid w:val="00F327B9"/>
    <w:rsid w:val="00F34268"/>
    <w:rsid w:val="00F35F14"/>
    <w:rsid w:val="00F37B73"/>
    <w:rsid w:val="00F44628"/>
    <w:rsid w:val="00F501CE"/>
    <w:rsid w:val="00F62FE7"/>
    <w:rsid w:val="00F646D9"/>
    <w:rsid w:val="00F73552"/>
    <w:rsid w:val="00F74DE5"/>
    <w:rsid w:val="00F7767E"/>
    <w:rsid w:val="00F84E91"/>
    <w:rsid w:val="00F850BD"/>
    <w:rsid w:val="00F90652"/>
    <w:rsid w:val="00F924C4"/>
    <w:rsid w:val="00FB130D"/>
    <w:rsid w:val="00FB1FFC"/>
    <w:rsid w:val="00FC0AF7"/>
    <w:rsid w:val="00FD1302"/>
    <w:rsid w:val="00FD55D3"/>
    <w:rsid w:val="00FE45C1"/>
    <w:rsid w:val="00FE5DDC"/>
    <w:rsid w:val="00FF4641"/>
    <w:rsid w:val="00FF657C"/>
    <w:rsid w:val="00FF6665"/>
    <w:rsid w:val="010D387E"/>
    <w:rsid w:val="0144744B"/>
    <w:rsid w:val="04A24ED4"/>
    <w:rsid w:val="060260FD"/>
    <w:rsid w:val="08131749"/>
    <w:rsid w:val="08FD2FDE"/>
    <w:rsid w:val="09233D30"/>
    <w:rsid w:val="0DAA6E50"/>
    <w:rsid w:val="0E760A97"/>
    <w:rsid w:val="0E7911B4"/>
    <w:rsid w:val="0F5A4F61"/>
    <w:rsid w:val="0F8C2F4D"/>
    <w:rsid w:val="1182582A"/>
    <w:rsid w:val="11BB6C02"/>
    <w:rsid w:val="131949B6"/>
    <w:rsid w:val="147D7BA0"/>
    <w:rsid w:val="15946D9D"/>
    <w:rsid w:val="15AD0E1A"/>
    <w:rsid w:val="15BC0F04"/>
    <w:rsid w:val="16F75874"/>
    <w:rsid w:val="18055EB1"/>
    <w:rsid w:val="18453711"/>
    <w:rsid w:val="186E2D48"/>
    <w:rsid w:val="18AF22FE"/>
    <w:rsid w:val="1A0D7502"/>
    <w:rsid w:val="1ADE0708"/>
    <w:rsid w:val="1B411642"/>
    <w:rsid w:val="1B5B1590"/>
    <w:rsid w:val="1C2251F9"/>
    <w:rsid w:val="1D4A7F0A"/>
    <w:rsid w:val="1D511C01"/>
    <w:rsid w:val="1DA42CAD"/>
    <w:rsid w:val="1E3C22AD"/>
    <w:rsid w:val="201965F3"/>
    <w:rsid w:val="203C1394"/>
    <w:rsid w:val="204563DC"/>
    <w:rsid w:val="204E73E9"/>
    <w:rsid w:val="207C270C"/>
    <w:rsid w:val="215C72A8"/>
    <w:rsid w:val="218200E4"/>
    <w:rsid w:val="2227057D"/>
    <w:rsid w:val="22AA1A61"/>
    <w:rsid w:val="23315D1E"/>
    <w:rsid w:val="23AC099C"/>
    <w:rsid w:val="23C51363"/>
    <w:rsid w:val="24876DD0"/>
    <w:rsid w:val="24EB4CB4"/>
    <w:rsid w:val="24ED6C19"/>
    <w:rsid w:val="2557260D"/>
    <w:rsid w:val="25D94A6A"/>
    <w:rsid w:val="26CE1878"/>
    <w:rsid w:val="28126211"/>
    <w:rsid w:val="28D25FA9"/>
    <w:rsid w:val="29A25A78"/>
    <w:rsid w:val="29AA2B38"/>
    <w:rsid w:val="2A252351"/>
    <w:rsid w:val="2BA63874"/>
    <w:rsid w:val="2C7E7F60"/>
    <w:rsid w:val="2CB3705D"/>
    <w:rsid w:val="2CF12534"/>
    <w:rsid w:val="2D6C71DF"/>
    <w:rsid w:val="2D927050"/>
    <w:rsid w:val="2DD60CC8"/>
    <w:rsid w:val="2E56564A"/>
    <w:rsid w:val="2EB2486C"/>
    <w:rsid w:val="2F050E1A"/>
    <w:rsid w:val="2FF273C1"/>
    <w:rsid w:val="30066679"/>
    <w:rsid w:val="33372BCC"/>
    <w:rsid w:val="345B487C"/>
    <w:rsid w:val="34A5576F"/>
    <w:rsid w:val="36373950"/>
    <w:rsid w:val="372938B4"/>
    <w:rsid w:val="38C0269E"/>
    <w:rsid w:val="394C2853"/>
    <w:rsid w:val="39607FE0"/>
    <w:rsid w:val="396E61E7"/>
    <w:rsid w:val="39E71772"/>
    <w:rsid w:val="3A07465F"/>
    <w:rsid w:val="3A2A5D3D"/>
    <w:rsid w:val="3C723C4B"/>
    <w:rsid w:val="3D4C3E48"/>
    <w:rsid w:val="3D9C39A6"/>
    <w:rsid w:val="3E9B1829"/>
    <w:rsid w:val="40C01576"/>
    <w:rsid w:val="418F3CD8"/>
    <w:rsid w:val="41DD063D"/>
    <w:rsid w:val="41E3743E"/>
    <w:rsid w:val="42226976"/>
    <w:rsid w:val="42A04AF4"/>
    <w:rsid w:val="4398108F"/>
    <w:rsid w:val="453C762A"/>
    <w:rsid w:val="46446757"/>
    <w:rsid w:val="464D20F4"/>
    <w:rsid w:val="4668225B"/>
    <w:rsid w:val="467D5FC4"/>
    <w:rsid w:val="46B272C6"/>
    <w:rsid w:val="47A17966"/>
    <w:rsid w:val="47CE61E6"/>
    <w:rsid w:val="48050405"/>
    <w:rsid w:val="48691822"/>
    <w:rsid w:val="494F0CDB"/>
    <w:rsid w:val="49505E7C"/>
    <w:rsid w:val="4A7969DC"/>
    <w:rsid w:val="4BDD3A51"/>
    <w:rsid w:val="4C7D6B9A"/>
    <w:rsid w:val="4CF50BC0"/>
    <w:rsid w:val="4D862E69"/>
    <w:rsid w:val="4DA2484F"/>
    <w:rsid w:val="4EAC6584"/>
    <w:rsid w:val="4F505B35"/>
    <w:rsid w:val="4FFA4A72"/>
    <w:rsid w:val="512F2A9B"/>
    <w:rsid w:val="51C95DE7"/>
    <w:rsid w:val="52593F7C"/>
    <w:rsid w:val="53FE336E"/>
    <w:rsid w:val="541F2237"/>
    <w:rsid w:val="542D5FAC"/>
    <w:rsid w:val="58793FB7"/>
    <w:rsid w:val="58A8087A"/>
    <w:rsid w:val="59B72F18"/>
    <w:rsid w:val="5A524180"/>
    <w:rsid w:val="5A5E5606"/>
    <w:rsid w:val="5B262653"/>
    <w:rsid w:val="5BF4746D"/>
    <w:rsid w:val="5C333BCF"/>
    <w:rsid w:val="5C3E42C7"/>
    <w:rsid w:val="5CE41654"/>
    <w:rsid w:val="5D034748"/>
    <w:rsid w:val="5E314917"/>
    <w:rsid w:val="5E8C3690"/>
    <w:rsid w:val="5F5A0718"/>
    <w:rsid w:val="60046376"/>
    <w:rsid w:val="6020074C"/>
    <w:rsid w:val="606A7285"/>
    <w:rsid w:val="620D1E62"/>
    <w:rsid w:val="62873F67"/>
    <w:rsid w:val="62B2730C"/>
    <w:rsid w:val="631A4D59"/>
    <w:rsid w:val="63A549AA"/>
    <w:rsid w:val="63C42131"/>
    <w:rsid w:val="644758EE"/>
    <w:rsid w:val="66861594"/>
    <w:rsid w:val="66C35940"/>
    <w:rsid w:val="67087B64"/>
    <w:rsid w:val="6735536B"/>
    <w:rsid w:val="673C79FD"/>
    <w:rsid w:val="67CE007D"/>
    <w:rsid w:val="684F2465"/>
    <w:rsid w:val="68FD5582"/>
    <w:rsid w:val="69D148C4"/>
    <w:rsid w:val="6A4C7DAE"/>
    <w:rsid w:val="6A8E633B"/>
    <w:rsid w:val="6AFE1A35"/>
    <w:rsid w:val="6B8A7769"/>
    <w:rsid w:val="6CF352E6"/>
    <w:rsid w:val="6F03033A"/>
    <w:rsid w:val="6F2C7270"/>
    <w:rsid w:val="6FCE3E76"/>
    <w:rsid w:val="6FF85E32"/>
    <w:rsid w:val="70A404D8"/>
    <w:rsid w:val="70D741AF"/>
    <w:rsid w:val="71055461"/>
    <w:rsid w:val="726A444D"/>
    <w:rsid w:val="72FE2198"/>
    <w:rsid w:val="735DCFA7"/>
    <w:rsid w:val="7401371B"/>
    <w:rsid w:val="7463056D"/>
    <w:rsid w:val="74DD2679"/>
    <w:rsid w:val="75397A40"/>
    <w:rsid w:val="75EE07C9"/>
    <w:rsid w:val="76CC0743"/>
    <w:rsid w:val="778C0CE9"/>
    <w:rsid w:val="78703039"/>
    <w:rsid w:val="787C1781"/>
    <w:rsid w:val="787D3FB0"/>
    <w:rsid w:val="789E6CA5"/>
    <w:rsid w:val="78C61913"/>
    <w:rsid w:val="7901764C"/>
    <w:rsid w:val="791410AD"/>
    <w:rsid w:val="79424349"/>
    <w:rsid w:val="79B96755"/>
    <w:rsid w:val="79C615F8"/>
    <w:rsid w:val="7A1C1448"/>
    <w:rsid w:val="7A3C26BF"/>
    <w:rsid w:val="7A537270"/>
    <w:rsid w:val="7B6138A5"/>
    <w:rsid w:val="7BF7C493"/>
    <w:rsid w:val="7C407DED"/>
    <w:rsid w:val="7CB23B97"/>
    <w:rsid w:val="7D6A0A9E"/>
    <w:rsid w:val="7EDB03A6"/>
    <w:rsid w:val="FB7D35A6"/>
    <w:rsid w:val="FCEA9E78"/>
    <w:rsid w:val="FFBEC3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6">
    <w:name w:val="Date"/>
    <w:basedOn w:val="1"/>
    <w:next w:val="1"/>
    <w:link w:val="24"/>
    <w:unhideWhenUsed/>
    <w:qFormat/>
    <w:uiPriority w:val="99"/>
    <w:pPr>
      <w:ind w:left="100" w:leftChars="2500"/>
    </w:pPr>
  </w:style>
  <w:style w:type="paragraph" w:styleId="7">
    <w:name w:val="Balloon Text"/>
    <w:basedOn w:val="1"/>
    <w:link w:val="19"/>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u w:val="single"/>
    </w:rPr>
  </w:style>
  <w:style w:type="character" w:customStyle="1" w:styleId="15">
    <w:name w:val="页眉 Char"/>
    <w:basedOn w:val="13"/>
    <w:link w:val="9"/>
    <w:qFormat/>
    <w:uiPriority w:val="99"/>
    <w:rPr>
      <w:sz w:val="18"/>
      <w:szCs w:val="18"/>
    </w:rPr>
  </w:style>
  <w:style w:type="character" w:customStyle="1" w:styleId="16">
    <w:name w:val="页脚 Char"/>
    <w:basedOn w:val="13"/>
    <w:link w:val="8"/>
    <w:qFormat/>
    <w:uiPriority w:val="99"/>
    <w:rPr>
      <w:sz w:val="18"/>
      <w:szCs w:val="18"/>
    </w:rPr>
  </w:style>
  <w:style w:type="character" w:customStyle="1" w:styleId="17">
    <w:name w:val="标题 4 Char"/>
    <w:basedOn w:val="13"/>
    <w:link w:val="5"/>
    <w:qFormat/>
    <w:uiPriority w:val="9"/>
    <w:rPr>
      <w:rFonts w:ascii="宋体" w:hAnsi="宋体" w:eastAsia="宋体" w:cs="宋体"/>
      <w:b/>
      <w:bCs/>
      <w:kern w:val="0"/>
      <w:sz w:val="24"/>
      <w:szCs w:val="24"/>
    </w:rPr>
  </w:style>
  <w:style w:type="paragraph" w:customStyle="1" w:styleId="18">
    <w:name w:val="日期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9">
    <w:name w:val="批注框文本 Char"/>
    <w:basedOn w:val="13"/>
    <w:link w:val="7"/>
    <w:semiHidden/>
    <w:qFormat/>
    <w:uiPriority w:val="99"/>
    <w:rPr>
      <w:sz w:val="18"/>
      <w:szCs w:val="18"/>
    </w:rPr>
  </w:style>
  <w:style w:type="character" w:customStyle="1" w:styleId="20">
    <w:name w:val="标题 2 Char"/>
    <w:basedOn w:val="13"/>
    <w:link w:val="3"/>
    <w:qFormat/>
    <w:uiPriority w:val="9"/>
    <w:rPr>
      <w:rFonts w:asciiTheme="majorHAnsi" w:hAnsiTheme="majorHAnsi" w:eastAsiaTheme="majorEastAsia" w:cstheme="majorBidi"/>
      <w:b/>
      <w:bCs/>
      <w:sz w:val="32"/>
      <w:szCs w:val="32"/>
    </w:rPr>
  </w:style>
  <w:style w:type="paragraph" w:customStyle="1" w:styleId="21">
    <w:name w:val="列出段落1"/>
    <w:basedOn w:val="1"/>
    <w:qFormat/>
    <w:uiPriority w:val="34"/>
    <w:pPr>
      <w:ind w:firstLine="420" w:firstLineChars="200"/>
    </w:pPr>
  </w:style>
  <w:style w:type="character" w:customStyle="1" w:styleId="22">
    <w:name w:val="apple-converted-space"/>
    <w:basedOn w:val="13"/>
    <w:qFormat/>
    <w:uiPriority w:val="0"/>
  </w:style>
  <w:style w:type="paragraph" w:customStyle="1" w:styleId="23">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4">
    <w:name w:val="日期 Char"/>
    <w:basedOn w:val="13"/>
    <w:link w:val="6"/>
    <w:semiHidden/>
    <w:qFormat/>
    <w:uiPriority w:val="99"/>
  </w:style>
  <w:style w:type="paragraph" w:customStyle="1" w:styleId="25">
    <w:name w:val="U_正文2"/>
    <w:basedOn w:val="1"/>
    <w:link w:val="26"/>
    <w:qFormat/>
    <w:uiPriority w:val="0"/>
    <w:pPr>
      <w:spacing w:before="10" w:beforeLines="10" w:after="10" w:afterLines="10" w:line="300" w:lineRule="auto"/>
    </w:pPr>
    <w:rPr>
      <w:rFonts w:ascii="Times New Roman" w:hAnsi="Times New Roman" w:eastAsia="宋体" w:cs="Times New Roman"/>
      <w:sz w:val="24"/>
      <w:szCs w:val="20"/>
    </w:rPr>
  </w:style>
  <w:style w:type="character" w:customStyle="1" w:styleId="26">
    <w:name w:val="U_正文2 Char"/>
    <w:link w:val="25"/>
    <w:qFormat/>
    <w:uiPriority w:val="0"/>
    <w:rPr>
      <w:rFonts w:ascii="Times New Roman" w:hAnsi="Times New Roman"/>
      <w:kern w:val="2"/>
      <w:sz w:val="24"/>
    </w:rPr>
  </w:style>
  <w:style w:type="paragraph" w:customStyle="1" w:styleId="27">
    <w:name w:val="U_编号2"/>
    <w:basedOn w:val="1"/>
    <w:qFormat/>
    <w:uiPriority w:val="0"/>
    <w:pPr>
      <w:tabs>
        <w:tab w:val="left" w:pos="420"/>
        <w:tab w:val="left" w:pos="785"/>
      </w:tabs>
      <w:spacing w:before="10" w:beforeLines="10" w:after="10" w:afterLines="10" w:line="300" w:lineRule="auto"/>
      <w:ind w:left="420" w:hanging="420"/>
    </w:pPr>
    <w:rPr>
      <w:rFonts w:ascii="Times New Roman" w:hAnsi="Times New Roman" w:eastAsia="宋体" w:cs="Times New Roman"/>
      <w:sz w:val="24"/>
      <w:szCs w:val="20"/>
    </w:rPr>
  </w:style>
  <w:style w:type="paragraph" w:customStyle="1" w:styleId="28">
    <w:name w:val="U_标题"/>
    <w:basedOn w:val="1"/>
    <w:qFormat/>
    <w:uiPriority w:val="0"/>
    <w:pPr>
      <w:spacing w:before="100" w:beforeLines="100" w:after="100" w:afterLines="100" w:line="300" w:lineRule="auto"/>
      <w:jc w:val="center"/>
    </w:pPr>
    <w:rPr>
      <w:rFonts w:ascii="Arial" w:hAnsi="Arial" w:eastAsia="黑体" w:cs="Times New Roman"/>
      <w:b/>
      <w:sz w:val="44"/>
      <w:szCs w:val="20"/>
    </w:rPr>
  </w:style>
  <w:style w:type="paragraph" w:customStyle="1" w:styleId="29">
    <w:name w:val="U_正文"/>
    <w:basedOn w:val="1"/>
    <w:link w:val="30"/>
    <w:qFormat/>
    <w:uiPriority w:val="0"/>
    <w:pPr>
      <w:spacing w:before="20" w:beforeLines="20" w:after="20" w:afterLines="20" w:line="300" w:lineRule="auto"/>
      <w:ind w:firstLine="200" w:firstLineChars="200"/>
    </w:pPr>
    <w:rPr>
      <w:rFonts w:ascii="Times New Roman" w:hAnsi="Times New Roman" w:eastAsia="宋体" w:cs="Times New Roman"/>
      <w:sz w:val="24"/>
      <w:szCs w:val="20"/>
    </w:rPr>
  </w:style>
  <w:style w:type="character" w:customStyle="1" w:styleId="30">
    <w:name w:val="U_正文 Char"/>
    <w:link w:val="29"/>
    <w:qFormat/>
    <w:uiPriority w:val="0"/>
    <w:rPr>
      <w:rFonts w:ascii="Times New Roman" w:hAnsi="Times New Roman"/>
      <w:kern w:val="2"/>
      <w:sz w:val="24"/>
    </w:rPr>
  </w:style>
  <w:style w:type="paragraph" w:customStyle="1" w:styleId="31">
    <w:name w:val="U_标题1"/>
    <w:basedOn w:val="2"/>
    <w:qFormat/>
    <w:uiPriority w:val="0"/>
    <w:pPr>
      <w:numPr>
        <w:ilvl w:val="0"/>
        <w:numId w:val="1"/>
      </w:numPr>
      <w:tabs>
        <w:tab w:val="left" w:pos="360"/>
        <w:tab w:val="clear" w:pos="432"/>
      </w:tabs>
      <w:spacing w:before="30" w:beforeLines="30" w:after="30" w:afterLines="30" w:line="300" w:lineRule="auto"/>
      <w:ind w:left="0" w:firstLine="0"/>
    </w:pPr>
    <w:rPr>
      <w:rFonts w:ascii="Times New Roman" w:hAnsi="Times New Roman" w:eastAsia="黑体" w:cs="Times New Roman"/>
      <w:bCs w:val="0"/>
      <w:sz w:val="32"/>
      <w:szCs w:val="20"/>
    </w:rPr>
  </w:style>
  <w:style w:type="paragraph" w:customStyle="1" w:styleId="32">
    <w:name w:val="U_标题2"/>
    <w:basedOn w:val="3"/>
    <w:qFormat/>
    <w:uiPriority w:val="0"/>
    <w:pPr>
      <w:numPr>
        <w:ilvl w:val="1"/>
        <w:numId w:val="1"/>
      </w:numPr>
      <w:spacing w:before="20" w:beforeLines="20" w:after="20" w:afterLines="20" w:line="300" w:lineRule="auto"/>
      <w:ind w:firstLine="0"/>
    </w:pPr>
    <w:rPr>
      <w:rFonts w:ascii="Arial" w:hAnsi="Arial" w:eastAsia="黑体" w:cs="Times New Roman"/>
      <w:bCs w:val="0"/>
      <w:sz w:val="30"/>
      <w:szCs w:val="20"/>
    </w:rPr>
  </w:style>
  <w:style w:type="paragraph" w:customStyle="1" w:styleId="33">
    <w:name w:val="U_标题3"/>
    <w:basedOn w:val="4"/>
    <w:qFormat/>
    <w:uiPriority w:val="0"/>
    <w:pPr>
      <w:numPr>
        <w:ilvl w:val="2"/>
        <w:numId w:val="1"/>
      </w:numPr>
      <w:tabs>
        <w:tab w:val="left" w:pos="360"/>
        <w:tab w:val="clear" w:pos="720"/>
      </w:tabs>
      <w:spacing w:before="20" w:beforeLines="20" w:after="20" w:afterLines="20" w:line="300" w:lineRule="auto"/>
      <w:ind w:left="0" w:firstLine="0"/>
    </w:pPr>
    <w:rPr>
      <w:rFonts w:ascii="Arial" w:hAnsi="Arial" w:eastAsia="黑体" w:cs="Times New Roman"/>
      <w:bCs w:val="0"/>
      <w:sz w:val="28"/>
      <w:szCs w:val="20"/>
    </w:rPr>
  </w:style>
  <w:style w:type="paragraph" w:customStyle="1" w:styleId="34">
    <w:name w:val="U_标题4"/>
    <w:basedOn w:val="5"/>
    <w:qFormat/>
    <w:uiPriority w:val="0"/>
    <w:pPr>
      <w:keepNext/>
      <w:keepLines/>
      <w:widowControl w:val="0"/>
      <w:numPr>
        <w:ilvl w:val="3"/>
        <w:numId w:val="1"/>
      </w:numPr>
      <w:spacing w:before="20" w:beforeLines="20" w:beforeAutospacing="0" w:after="20" w:afterLines="20" w:afterAutospacing="0" w:line="300" w:lineRule="auto"/>
      <w:ind w:firstLine="0"/>
      <w:jc w:val="both"/>
    </w:pPr>
    <w:rPr>
      <w:rFonts w:ascii="Arial" w:hAnsi="Arial" w:eastAsia="黑体" w:cs="Times New Roman"/>
      <w:bCs w:val="0"/>
      <w:kern w:val="2"/>
      <w:szCs w:val="20"/>
    </w:rPr>
  </w:style>
  <w:style w:type="character" w:customStyle="1" w:styleId="35">
    <w:name w:val="标题 1 Char"/>
    <w:basedOn w:val="13"/>
    <w:link w:val="2"/>
    <w:qFormat/>
    <w:uiPriority w:val="9"/>
    <w:rPr>
      <w:rFonts w:asciiTheme="minorHAnsi" w:hAnsiTheme="minorHAnsi" w:eastAsiaTheme="minorEastAsia" w:cstheme="minorBidi"/>
      <w:b/>
      <w:bCs/>
      <w:kern w:val="44"/>
      <w:sz w:val="44"/>
      <w:szCs w:val="44"/>
    </w:rPr>
  </w:style>
  <w:style w:type="character" w:customStyle="1" w:styleId="36">
    <w:name w:val="标题 3 Char"/>
    <w:basedOn w:val="13"/>
    <w:link w:val="4"/>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0741C52C-FFDD-4FAD-A2DC-5975569F1C40}">
  <ds:schemaRefs/>
</ds:datastoreItem>
</file>

<file path=docProps/app.xml><?xml version="1.0" encoding="utf-8"?>
<Properties xmlns="http://schemas.openxmlformats.org/officeDocument/2006/extended-properties" xmlns:vt="http://schemas.openxmlformats.org/officeDocument/2006/docPropsVTypes">
  <Company>Microsoft</Company>
  <Pages>1</Pages>
  <Words>757</Words>
  <Characters>4316</Characters>
  <Lines>35</Lines>
  <Paragraphs>10</Paragraphs>
  <TotalTime>42</TotalTime>
  <ScaleCrop>false</ScaleCrop>
  <LinksUpToDate>false</LinksUpToDate>
  <CharactersWithSpaces>5063</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2017-05-20T09:02:00Z</dcterms:created>
  <dc:creator>GANGUO</dc:creator>
  <cp:lastModifiedBy>Administrator</cp:lastModifiedBy>
  <cp:lastPrinted>2021-04-06T23:45:00Z</cp:lastPrinted>
  <dcterms:modified xsi:type="dcterms:W3CDTF">2026-08-19T13:38:26Z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CFEC10D75A8E419E93946AFF506F448E_12</vt:lpwstr>
  </property>
</Properties>
</file>